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 к Документации о закупке</w:t>
      </w:r>
      <w:r>
        <w:rPr>
          <w:sz w:val="24"/>
          <w:szCs w:val="24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9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выполнение работ</w:t>
      </w:r>
      <w:r>
        <w:rPr>
          <w:rFonts w:eastAsia="Calibri"/>
          <w:b/>
        </w:rPr>
      </w:r>
    </w:p>
    <w:p>
      <w:pPr>
        <w:pStyle w:val="729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729"/>
        <w:jc w:val="center"/>
        <w:keepLines/>
        <w:keepNext/>
        <w:rPr>
          <w:highlight w:val="none"/>
          <w:shd w:val="clear" w:color="auto" w:fill="auto"/>
        </w:rPr>
      </w:pPr>
      <w:r>
        <w:rPr>
          <w:rFonts w:eastAsia="Calibri" w:cs="Times New Roman"/>
          <w:b/>
          <w:sz w:val="28"/>
          <w:szCs w:val="28"/>
          <w:shd w:val="clear" w:color="auto" w:fill="auto"/>
          <w:lang w:eastAsia="ru-RU"/>
        </w:rPr>
        <w:t xml:space="preserve">«ОКПД 2 43.12.11.190 Выполнение работ по очистке золоотвала для котельного цеха № 2 (Ургальская ЦЭС) Хабаровской ТЭЦ-2, пос. Чегдомын»</w:t>
      </w:r>
      <w:r>
        <w:rPr>
          <w:highlight w:val="none"/>
          <w:shd w:val="clear" w:color="auto" w:fill="auto"/>
        </w:rPr>
      </w:r>
    </w:p>
    <w:p>
      <w:pPr>
        <w:pStyle w:val="729"/>
        <w:jc w:val="center"/>
        <w:rPr>
          <w:rFonts w:ascii="Times New Roman" w:hAnsi="Times New Roman" w:eastAsia="Calibri" w:cs="Times New Roman"/>
          <w:b/>
          <w:sz w:val="28"/>
          <w:szCs w:val="28"/>
          <w:highlight w:val="yellow"/>
        </w:rPr>
      </w:pPr>
      <w:r>
        <w:rPr>
          <w:rFonts w:eastAsia="Calibri" w:cs="Times New Roman"/>
          <w:b/>
          <w:sz w:val="28"/>
          <w:szCs w:val="28"/>
          <w:highlight w:val="yellow"/>
        </w:rPr>
      </w:r>
      <w:r>
        <w:rPr>
          <w:rFonts w:ascii="Times New Roman" w:hAnsi="Times New Roman" w:eastAsia="Calibri" w:cs="Times New Roman"/>
          <w:b/>
          <w:sz w:val="28"/>
          <w:szCs w:val="28"/>
          <w:highlight w:val="yellow"/>
        </w:rPr>
      </w:r>
    </w:p>
    <w:p>
      <w:pPr>
        <w:pStyle w:val="729"/>
        <w:jc w:val="center"/>
        <w:keepLines/>
        <w:keepNext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pStyle w:val="729"/>
        <w:jc w:val="center"/>
        <w:keepLines/>
        <w:keepNext/>
        <w:spacing w:before="0" w:after="240"/>
        <w:rPr>
          <w:rStyle w:val="764"/>
          <w:b w:val="0"/>
        </w:rPr>
      </w:pPr>
      <w:r>
        <w:rPr>
          <w:rFonts w:eastAsia="Calibri"/>
          <w:b/>
        </w:rPr>
        <w:t xml:space="preserve">Лот №</w:t>
      </w:r>
      <w:r>
        <w:rPr>
          <w:rFonts w:eastAsia="Calibri" w:cs="Times New Roman"/>
          <w:b/>
          <w:sz w:val="28"/>
          <w:szCs w:val="28"/>
          <w:lang w:eastAsia="ru-RU"/>
        </w:rPr>
        <w:t xml:space="preserve"> 41021050-ЭКСП ПРОД-2026-ДГК-ХТЭЦ2</w:t>
      </w:r>
      <w:r>
        <w:rPr>
          <w:rStyle w:val="764"/>
          <w:b w:val="0"/>
        </w:rPr>
      </w:r>
    </w:p>
    <w:p>
      <w:pPr>
        <w:pStyle w:val="729"/>
        <w:jc w:val="center"/>
        <w:spacing w:before="0" w:after="240"/>
        <w:rPr>
          <w:rStyle w:val="764"/>
          <w:b w:val="0"/>
        </w:rPr>
      </w:pPr>
      <w:r>
        <w:rPr>
          <w:b w:val="0"/>
        </w:rPr>
      </w:r>
      <w:r>
        <w:rPr>
          <w:rStyle w:val="764"/>
          <w:b w:val="0"/>
        </w:rPr>
      </w:r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</w:pPr>
      <w:r/>
      <w:r/>
    </w:p>
    <w:p>
      <w:pPr>
        <w:pStyle w:val="729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СОДЕРЖАНИЕ </w:t>
      </w:r>
      <w:r>
        <w:rPr>
          <w:rFonts w:eastAsia="Calibri"/>
          <w:b/>
          <w:sz w:val="24"/>
          <w:szCs w:val="24"/>
        </w:rPr>
      </w:r>
    </w:p>
    <w:p>
      <w:pPr>
        <w:pStyle w:val="729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729"/>
        <w:spacing w:before="120" w:after="0" w:line="360" w:lineRule="auto"/>
        <w:tabs>
          <w:tab w:val="left" w:pos="560" w:leader="none"/>
          <w:tab w:val="clear" w:pos="708" w:leader="none"/>
          <w:tab w:val="left" w:pos="9214" w:leader="none"/>
          <w:tab w:val="right" w:pos="9911" w:leader="dot"/>
        </w:tabs>
        <w:rPr>
          <w:rFonts w:eastAsia="Arial" w:cs="Calibri" w:eastAsiaTheme="minorEastAsia" w:cstheme="minorHAnsi"/>
          <w:b/>
          <w:bCs/>
          <w:iCs/>
          <w:sz w:val="22"/>
          <w:szCs w:val="24"/>
        </w:rPr>
      </w:pPr>
      <w:r>
        <w:rPr>
          <w:rFonts w:eastAsia="Arial" w:cs="Calibri" w:eastAsiaTheme="minorEastAsia" w:cstheme="minorHAnsi"/>
          <w:b/>
          <w:bCs/>
          <w:iCs/>
          <w:sz w:val="22"/>
          <w:szCs w:val="24"/>
        </w:rPr>
        <w:t xml:space="preserve">1. Общие сведения</w:t>
        <w:tab/>
        <w:t xml:space="preserve">3</w:t>
      </w:r>
      <w:r>
        <w:rPr>
          <w:rFonts w:eastAsia="Arial" w:cs="Calibri" w:eastAsiaTheme="minorEastAsia" w:cstheme="minorHAnsi"/>
          <w:b/>
          <w:bCs/>
          <w:iCs/>
          <w:sz w:val="22"/>
          <w:szCs w:val="24"/>
        </w:rPr>
      </w:r>
    </w:p>
    <w:p>
      <w:pPr>
        <w:pStyle w:val="729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1.1 Наименование закупаемой продукции</w:t>
        <w:tab/>
        <w:tab/>
        <w:tab/>
        <w:tab/>
        <w:tab/>
        <w:tab/>
        <w:tab/>
        <w:tab/>
      </w:r>
      <w:r>
        <w:rPr>
          <w:rFonts w:eastAsia="Arial" w:eastAsiaTheme="minorEastAsia"/>
          <w:b/>
          <w:sz w:val="22"/>
          <w:szCs w:val="24"/>
        </w:rPr>
        <w:t xml:space="preserve">3</w:t>
      </w:r>
      <w:r>
        <w:rPr>
          <w:rFonts w:eastAsia="Arial" w:eastAsiaTheme="minorEastAsia"/>
          <w:sz w:val="22"/>
          <w:szCs w:val="24"/>
        </w:rPr>
      </w:r>
    </w:p>
    <w:p>
      <w:pPr>
        <w:pStyle w:val="729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1.2 Цель выполнения работ</w:t>
        <w:tab/>
        <w:tab/>
        <w:tab/>
        <w:tab/>
        <w:tab/>
        <w:tab/>
        <w:tab/>
        <w:tab/>
        <w:tab/>
        <w:tab/>
      </w:r>
      <w:r>
        <w:rPr>
          <w:rFonts w:eastAsia="Arial" w:eastAsiaTheme="minorEastAsia"/>
          <w:b/>
          <w:sz w:val="22"/>
          <w:szCs w:val="24"/>
        </w:rPr>
        <w:t xml:space="preserve">3</w:t>
      </w:r>
      <w:r>
        <w:rPr>
          <w:rFonts w:eastAsia="Arial" w:eastAsiaTheme="minorEastAsia"/>
          <w:sz w:val="22"/>
          <w:szCs w:val="24"/>
        </w:rPr>
      </w:r>
    </w:p>
    <w:p>
      <w:pPr>
        <w:pStyle w:val="729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1.3 Существующее положение</w:t>
        <w:tab/>
        <w:tab/>
        <w:tab/>
        <w:tab/>
        <w:tab/>
        <w:tab/>
        <w:tab/>
        <w:tab/>
        <w:tab/>
      </w:r>
      <w:r>
        <w:rPr>
          <w:rFonts w:eastAsia="Arial" w:eastAsiaTheme="minorEastAsia"/>
          <w:b/>
          <w:sz w:val="22"/>
          <w:szCs w:val="24"/>
        </w:rPr>
        <w:t xml:space="preserve">3</w:t>
      </w:r>
      <w:r>
        <w:rPr>
          <w:rFonts w:eastAsia="Arial" w:eastAsiaTheme="minorEastAsia"/>
          <w:sz w:val="22"/>
          <w:szCs w:val="24"/>
        </w:rPr>
      </w:r>
    </w:p>
    <w:p>
      <w:pPr>
        <w:pStyle w:val="729"/>
        <w:spacing w:line="360" w:lineRule="auto"/>
        <w:rPr>
          <w:rFonts w:eastAsia="Arial" w:eastAsiaTheme="minorEastAsia"/>
          <w:b/>
          <w:sz w:val="22"/>
          <w:szCs w:val="24"/>
        </w:rPr>
      </w:pPr>
      <w:r>
        <w:rPr>
          <w:rFonts w:eastAsia="Arial" w:eastAsiaTheme="minorEastAsia"/>
          <w:b/>
          <w:sz w:val="22"/>
          <w:szCs w:val="24"/>
        </w:rPr>
        <w:t xml:space="preserve">Таблица 1. Перечень объектов заказчика</w:t>
        <w:tab/>
        <w:tab/>
        <w:tab/>
        <w:tab/>
        <w:tab/>
        <w:tab/>
        <w:tab/>
        <w:tab/>
        <w:t xml:space="preserve">4</w:t>
      </w:r>
      <w:r>
        <w:rPr>
          <w:rFonts w:eastAsia="Arial" w:eastAsiaTheme="minorEastAsia"/>
          <w:b/>
          <w:sz w:val="22"/>
          <w:szCs w:val="24"/>
        </w:rPr>
      </w:r>
    </w:p>
    <w:p>
      <w:pPr>
        <w:pStyle w:val="729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1.4</w:t>
        <w:tab/>
        <w:t xml:space="preserve">Иные требования и сведения общего характера</w:t>
        <w:tab/>
        <w:tab/>
        <w:tab/>
        <w:tab/>
        <w:tab/>
        <w:tab/>
      </w:r>
      <w:r>
        <w:rPr>
          <w:rFonts w:eastAsia="Arial" w:eastAsiaTheme="minorEastAsia"/>
          <w:b/>
          <w:sz w:val="22"/>
          <w:szCs w:val="24"/>
        </w:rPr>
        <w:t xml:space="preserve">4</w:t>
      </w:r>
      <w:r>
        <w:rPr>
          <w:rFonts w:eastAsia="Arial" w:eastAsiaTheme="minorEastAsia"/>
          <w:sz w:val="22"/>
          <w:szCs w:val="24"/>
        </w:rPr>
      </w:r>
    </w:p>
    <w:p>
      <w:pPr>
        <w:pStyle w:val="729"/>
        <w:spacing w:line="360" w:lineRule="auto"/>
        <w:tabs>
          <w:tab w:val="clear" w:pos="708" w:leader="none"/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2. Требования к продукции</w:t>
        <w:tab/>
        <w:tab/>
        <w:tab/>
        <w:tab/>
        <w:tab/>
        <w:tab/>
        <w:tab/>
        <w:tab/>
        <w:t xml:space="preserve">4</w:t>
      </w:r>
      <w:r>
        <w:rPr>
          <w:b/>
          <w:sz w:val="22"/>
          <w:szCs w:val="24"/>
        </w:rPr>
      </w:r>
    </w:p>
    <w:p>
      <w:pPr>
        <w:pStyle w:val="729"/>
        <w:spacing w:line="360" w:lineRule="auto"/>
        <w:tabs>
          <w:tab w:val="clear" w:pos="708" w:leader="none"/>
          <w:tab w:val="left" w:pos="709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2.1.</w:t>
        <w:tab/>
        <w:t xml:space="preserve">Требования к объемам и срокам выполнения работ</w:t>
        <w:tab/>
        <w:tab/>
        <w:tab/>
        <w:tab/>
        <w:tab/>
        <w:tab/>
      </w:r>
      <w:r>
        <w:rPr>
          <w:b/>
          <w:sz w:val="22"/>
          <w:szCs w:val="24"/>
        </w:rPr>
        <w:t xml:space="preserve">4</w:t>
      </w:r>
      <w:r>
        <w:rPr>
          <w:sz w:val="22"/>
          <w:szCs w:val="24"/>
        </w:rPr>
      </w:r>
    </w:p>
    <w:p>
      <w:pPr>
        <w:pStyle w:val="729"/>
        <w:spacing w:line="360" w:lineRule="auto"/>
        <w:tabs>
          <w:tab w:val="clear" w:pos="708" w:leader="none"/>
          <w:tab w:val="left" w:pos="709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2.1.1.</w:t>
        <w:tab/>
        <w:t xml:space="preserve">Требования к видам и объемам работ</w:t>
        <w:tab/>
        <w:tab/>
        <w:tab/>
        <w:tab/>
        <w:tab/>
        <w:tab/>
        <w:tab/>
        <w:tab/>
      </w:r>
      <w:r>
        <w:rPr>
          <w:b/>
          <w:sz w:val="22"/>
          <w:szCs w:val="24"/>
        </w:rPr>
        <w:t xml:space="preserve">4</w:t>
      </w:r>
      <w:r>
        <w:rPr>
          <w:sz w:val="22"/>
          <w:szCs w:val="24"/>
        </w:rPr>
      </w:r>
    </w:p>
    <w:p>
      <w:pPr>
        <w:pStyle w:val="729"/>
        <w:spacing w:line="360" w:lineRule="auto"/>
        <w:tabs>
          <w:tab w:val="clear" w:pos="708" w:leader="none"/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2. Перечень и объем выполняемых работ</w:t>
        <w:tab/>
        <w:tab/>
        <w:tab/>
        <w:tab/>
        <w:tab/>
        <w:tab/>
        <w:t xml:space="preserve">4</w:t>
      </w:r>
      <w:r>
        <w:rPr>
          <w:b/>
          <w:sz w:val="22"/>
          <w:szCs w:val="24"/>
        </w:rPr>
      </w:r>
    </w:p>
    <w:p>
      <w:pPr>
        <w:pStyle w:val="729"/>
        <w:ind w:left="567" w:hanging="567"/>
        <w:spacing w:line="360" w:lineRule="auto"/>
        <w:rPr>
          <w:sz w:val="22"/>
          <w:szCs w:val="24"/>
        </w:rPr>
      </w:pPr>
      <w:r>
        <w:rPr>
          <w:sz w:val="22"/>
          <w:szCs w:val="24"/>
        </w:rPr>
        <w:t xml:space="preserve">2.1.2.</w:t>
        <w:tab/>
        <w:tab/>
        <w:t xml:space="preserve">Требования к срокам выполнения работ</w:t>
        <w:tab/>
        <w:tab/>
        <w:tab/>
        <w:tab/>
        <w:tab/>
        <w:tab/>
        <w:tab/>
        <w:t xml:space="preserve">5</w:t>
      </w:r>
      <w:r>
        <w:rPr>
          <w:sz w:val="22"/>
          <w:szCs w:val="24"/>
        </w:rPr>
      </w:r>
    </w:p>
    <w:p>
      <w:pPr>
        <w:pStyle w:val="729"/>
        <w:ind w:left="567" w:hanging="567"/>
        <w:spacing w:line="360" w:lineRule="auto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3. Требования по срокам выполнения работ</w:t>
        <w:tab/>
        <w:tab/>
        <w:tab/>
        <w:tab/>
        <w:tab/>
        <w:tab/>
        <w:t xml:space="preserve">5</w:t>
      </w:r>
      <w:r>
        <w:rPr>
          <w:b/>
          <w:sz w:val="22"/>
          <w:szCs w:val="24"/>
        </w:rPr>
      </w:r>
    </w:p>
    <w:p>
      <w:pPr>
        <w:pStyle w:val="729"/>
        <w:ind w:left="567" w:hanging="567"/>
        <w:spacing w:line="360" w:lineRule="auto"/>
        <w:rPr>
          <w:sz w:val="22"/>
          <w:szCs w:val="24"/>
        </w:rPr>
      </w:pPr>
      <w:r>
        <w:rPr>
          <w:sz w:val="22"/>
          <w:szCs w:val="24"/>
        </w:rPr>
        <w:t xml:space="preserve">2.2</w:t>
        <w:tab/>
        <w:t xml:space="preserve">Требования к качеству работ</w:t>
        <w:tab/>
        <w:tab/>
        <w:tab/>
        <w:tab/>
        <w:tab/>
        <w:tab/>
        <w:tab/>
        <w:tab/>
        <w:tab/>
      </w:r>
      <w:r>
        <w:rPr>
          <w:b/>
          <w:sz w:val="22"/>
          <w:szCs w:val="24"/>
        </w:rPr>
        <w:t xml:space="preserve">5</w:t>
      </w:r>
      <w:r>
        <w:rPr>
          <w:sz w:val="22"/>
          <w:szCs w:val="24"/>
        </w:rPr>
      </w:r>
    </w:p>
    <w:p>
      <w:pPr>
        <w:pStyle w:val="729"/>
        <w:spacing w:line="360" w:lineRule="auto"/>
        <w:tabs>
          <w:tab w:val="clear" w:pos="708" w:leader="none"/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4. </w:t>
      </w:r>
      <w:r>
        <w:rPr>
          <w:b/>
          <w:bCs/>
          <w:sz w:val="22"/>
          <w:szCs w:val="22"/>
        </w:rPr>
        <w:t xml:space="preserve">Требования </w:t>
      </w:r>
      <w:r>
        <w:rPr>
          <w:b/>
          <w:sz w:val="22"/>
          <w:szCs w:val="24"/>
        </w:rPr>
        <w:t xml:space="preserve">к качеству работ</w:t>
        <w:tab/>
        <w:tab/>
        <w:tab/>
        <w:tab/>
        <w:tab/>
        <w:tab/>
        <w:tab/>
        <w:tab/>
        <w:t xml:space="preserve">6</w:t>
      </w:r>
      <w:r>
        <w:rPr>
          <w:b/>
          <w:sz w:val="22"/>
          <w:szCs w:val="24"/>
        </w:rPr>
      </w:r>
    </w:p>
    <w:p>
      <w:pPr>
        <w:pStyle w:val="729"/>
        <w:numPr>
          <w:ilvl w:val="0"/>
          <w:numId w:val="2"/>
        </w:numPr>
        <w:contextualSpacing/>
        <w:ind w:left="284" w:hanging="284"/>
        <w:spacing w:before="0" w:after="0" w:line="360" w:lineRule="auto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Требования к документации по ценообразованию на этапе закупки</w:t>
        <w:tab/>
        <w:tab/>
        <w:tab/>
        <w:tab/>
        <w:t xml:space="preserve">10</w:t>
      </w:r>
      <w:r>
        <w:rPr>
          <w:b/>
          <w:sz w:val="22"/>
          <w:szCs w:val="24"/>
        </w:rPr>
      </w:r>
    </w:p>
    <w:p>
      <w:pPr>
        <w:pStyle w:val="729"/>
        <w:numPr>
          <w:ilvl w:val="0"/>
          <w:numId w:val="2"/>
        </w:numPr>
        <w:contextualSpacing/>
        <w:ind w:left="720" w:hanging="720"/>
        <w:spacing w:before="0" w:after="0" w:line="360" w:lineRule="auto"/>
        <w:tabs>
          <w:tab w:val="left" w:pos="284" w:leader="none"/>
          <w:tab w:val="clear" w:pos="708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Требования к документации по ценообразованию на этапе заключения (исполнения)</w:t>
      </w:r>
      <w:r>
        <w:rPr>
          <w:b/>
          <w:sz w:val="22"/>
          <w:szCs w:val="24"/>
        </w:rPr>
      </w:r>
    </w:p>
    <w:p>
      <w:pPr>
        <w:pStyle w:val="729"/>
        <w:spacing w:line="360" w:lineRule="auto"/>
        <w:tabs>
          <w:tab w:val="left" w:pos="284" w:leader="none"/>
          <w:tab w:val="clear" w:pos="708" w:leader="none"/>
        </w:tabs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 xml:space="preserve">Договора</w:t>
        <w:tab/>
        <w:tab/>
        <w:tab/>
        <w:tab/>
        <w:tab/>
        <w:tab/>
        <w:tab/>
        <w:tab/>
        <w:tab/>
        <w:tab/>
        <w:tab/>
        <w:tab/>
        <w:t xml:space="preserve">10</w:t>
      </w:r>
      <w:r>
        <w:rPr>
          <w:b/>
          <w:bCs/>
          <w:sz w:val="22"/>
          <w:szCs w:val="22"/>
          <w:highlight w:val="none"/>
        </w:rPr>
      </w:r>
    </w:p>
    <w:p>
      <w:pPr>
        <w:pStyle w:val="729"/>
        <w:spacing w:line="360" w:lineRule="auto"/>
        <w:tabs>
          <w:tab w:val="left" w:pos="284" w:leader="none"/>
          <w:tab w:val="clear" w:pos="708" w:leader="none"/>
        </w:tabs>
        <w:rPr>
          <w:b/>
          <w:bCs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134" w:header="0" w:footer="708" w:gutter="0"/>
          <w:cols w:num="1" w:sep="0" w:space="1701" w:equalWidth="1"/>
          <w:docGrid w:linePitch="360"/>
        </w:sectPr>
      </w:pPr>
      <w:r>
        <w:rPr>
          <w:b/>
          <w:sz w:val="22"/>
        </w:rPr>
        <w:t xml:space="preserve">5. Приложения</w:t>
      </w:r>
      <w:r>
        <w:rPr>
          <w:b/>
          <w:sz w:val="22"/>
          <w:szCs w:val="24"/>
        </w:rPr>
        <w:tab/>
        <w:tab/>
        <w:tab/>
        <w:tab/>
        <w:tab/>
        <w:tab/>
        <w:tab/>
        <w:tab/>
        <w:tab/>
        <w:tab/>
        <w:tab/>
        <w:t xml:space="preserve">10</w:t>
      </w:r>
      <w:r>
        <w:rPr>
          <w:b/>
          <w:bCs/>
          <w:sz w:val="22"/>
          <w:szCs w:val="22"/>
        </w:rPr>
      </w:r>
    </w:p>
    <w:p>
      <w:pPr>
        <w:pStyle w:val="793"/>
        <w:numPr>
          <w:ilvl w:val="0"/>
          <w:numId w:val="1"/>
        </w:numPr>
        <w:contextualSpacing/>
        <w:jc w:val="center"/>
        <w:spacing w:before="0" w:after="0" w:line="360" w:lineRule="auto"/>
        <w:tabs>
          <w:tab w:val="clear" w:pos="708" w:leader="none"/>
          <w:tab w:val="left" w:pos="4253" w:leader="none"/>
        </w:tabs>
        <w:rPr>
          <w:b/>
          <w:sz w:val="24"/>
        </w:rPr>
      </w:pPr>
      <w:r>
        <w:rPr>
          <w:b/>
          <w:sz w:val="24"/>
        </w:rPr>
        <w:t xml:space="preserve">Общие сведения</w:t>
      </w:r>
      <w:r>
        <w:rPr>
          <w:b/>
          <w:sz w:val="24"/>
        </w:rPr>
      </w:r>
    </w:p>
    <w:p>
      <w:pPr>
        <w:pStyle w:val="733"/>
        <w:numPr>
          <w:ilvl w:val="1"/>
          <w:numId w:val="1"/>
        </w:numPr>
      </w:pPr>
      <w:r/>
      <w:bookmarkStart w:id="0" w:name="undefined"/>
      <w:r>
        <w:t xml:space="preserve">Обозначения и сокращения</w:t>
      </w:r>
      <w:bookmarkEnd w:id="0"/>
      <w:r/>
      <w:r/>
      <w:r>
        <w:rPr>
          <w:b w:val="0"/>
          <w:bCs/>
          <w:iCs/>
          <w:sz w:val="26"/>
          <w:szCs w:val="26"/>
        </w:rPr>
      </w:r>
      <w:r>
        <w:rPr>
          <w:b w:val="0"/>
          <w:bCs/>
          <w:iCs/>
          <w:sz w:val="26"/>
          <w:szCs w:val="26"/>
        </w:rPr>
      </w:r>
      <w:r/>
    </w:p>
    <w:tbl>
      <w:tblPr>
        <w:tblW w:w="985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29"/>
        <w:gridCol w:w="7624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9" w:type="dxa"/>
            <w:textDirection w:val="lrTb"/>
            <w:noWrap w:val="false"/>
          </w:tcPr>
          <w:p>
            <w:pPr>
              <w:pStyle w:val="729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НТД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Нормативно-техническая документация;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9" w:type="dxa"/>
            <w:textDirection w:val="lrTb"/>
            <w:noWrap w:val="false"/>
          </w:tcPr>
          <w:p>
            <w:pPr>
              <w:pStyle w:val="729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Публичное акционерное общество;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9" w:type="dxa"/>
            <w:textDirection w:val="lrTb"/>
            <w:noWrap w:val="false"/>
          </w:tcPr>
          <w:p>
            <w:pPr>
              <w:pStyle w:val="729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9" w:type="dxa"/>
            <w:textDirection w:val="lrTb"/>
            <w:noWrap w:val="false"/>
          </w:tcPr>
          <w:p>
            <w:pPr>
              <w:pStyle w:val="729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требования;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29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33"/>
        <w:numPr>
          <w:ilvl w:val="1"/>
          <w:numId w:val="1"/>
        </w:numPr>
      </w:pPr>
      <w:r>
        <w:t xml:space="preserve">Наименование закупаемой продукции </w:t>
      </w:r>
      <w:r/>
    </w:p>
    <w:p>
      <w:pPr>
        <w:pStyle w:val="733"/>
        <w:numPr>
          <w:ilvl w:val="0"/>
          <w:numId w:val="0"/>
        </w:numPr>
        <w:ind w:left="0" w:firstLine="567"/>
        <w:jc w:val="both"/>
        <w:rPr>
          <w:b w:val="0"/>
        </w:rPr>
      </w:pPr>
      <w:r>
        <w:rPr>
          <w:b w:val="0"/>
        </w:rPr>
        <w:t xml:space="preserve">ОКПД 2 43.12.11.190 Выполнение работ по очистке золоотвала для котельного цеха № 2 (Ургальская ЦЭС) Хабаровской ТЭЦ-2, пос. Чегдомын</w:t>
      </w:r>
      <w:r>
        <w:rPr>
          <w:b w:val="0"/>
        </w:rPr>
      </w:r>
    </w:p>
    <w:p>
      <w:pPr>
        <w:pStyle w:val="733"/>
        <w:numPr>
          <w:ilvl w:val="1"/>
          <w:numId w:val="1"/>
        </w:numPr>
        <w:jc w:val="both"/>
      </w:pPr>
      <w:r>
        <w:t xml:space="preserve">Цель выполнения работ</w:t>
      </w:r>
      <w:r/>
    </w:p>
    <w:p>
      <w:pPr>
        <w:pStyle w:val="733"/>
        <w:numPr>
          <w:ilvl w:val="0"/>
          <w:numId w:val="0"/>
        </w:numPr>
        <w:ind w:left="0" w:firstLine="567"/>
        <w:jc w:val="both"/>
        <w:rPr>
          <w:b w:val="0"/>
          <w:color w:val="000000"/>
          <w:shd w:val="clear" w:color="auto" w:fill="ffffff"/>
        </w:rPr>
      </w:pPr>
      <w:r>
        <w:rPr>
          <w:b w:val="0"/>
          <w:color w:val="000000"/>
          <w:shd w:val="clear" w:color="auto" w:fill="ffffff"/>
        </w:rPr>
        <w:t xml:space="preserve">О</w:t>
      </w:r>
      <w:r>
        <w:rPr>
          <w:b w:val="0"/>
          <w:color w:val="000000"/>
          <w:shd w:val="clear" w:color="auto" w:fill="ffffff"/>
        </w:rPr>
        <w:t xml:space="preserve">чистка приемной площадки для складирования золошлаковых отходов в отопительный сезон 2026-2027 гг. соблюдение требований законодательства в области охраны окружающей среды и законодательства в области обеспечения санитарно-эпидемиологического благополучия.</w:t>
      </w:r>
      <w:r>
        <w:rPr>
          <w:b w:val="0"/>
          <w:color w:val="000000"/>
          <w:shd w:val="clear" w:color="auto" w:fill="ffffff"/>
        </w:rPr>
      </w:r>
    </w:p>
    <w:p>
      <w:pPr>
        <w:pStyle w:val="733"/>
        <w:numPr>
          <w:ilvl w:val="1"/>
          <w:numId w:val="1"/>
        </w:numPr>
        <w:jc w:val="both"/>
        <w:rPr>
          <w:lang w:bidi="ru-RU"/>
        </w:rPr>
      </w:pPr>
      <w:r>
        <w:rPr>
          <w:lang w:bidi="ru-RU"/>
        </w:rPr>
        <w:t xml:space="preserve">Существующее положение</w:t>
      </w:r>
      <w:r>
        <w:rPr>
          <w:lang w:bidi="ru-RU"/>
        </w:rPr>
      </w:r>
    </w:p>
    <w:p>
      <w:pPr>
        <w:pStyle w:val="730"/>
        <w:numPr>
          <w:ilvl w:val="0"/>
          <w:numId w:val="0"/>
        </w:numPr>
        <w:contextualSpacing/>
        <w:ind w:left="0" w:firstLine="851"/>
        <w:jc w:val="both"/>
        <w:keepLines/>
        <w:spacing w:before="240" w:after="0"/>
        <w:rPr>
          <w:b w:val="0"/>
          <w:color w:val="3f3f3f"/>
          <w:sz w:val="24"/>
          <w:szCs w:val="24"/>
          <w:shd w:val="clear" w:color="auto" w:fill="f3f3f0"/>
        </w:rPr>
      </w:pPr>
      <w:r>
        <w:rPr>
          <w:b w:val="0"/>
          <w:bCs w:val="0"/>
          <w:sz w:val="24"/>
          <w:szCs w:val="24"/>
        </w:rPr>
        <w:t xml:space="preserve">Площадка золоотвала </w:t>
      </w:r>
      <w:r>
        <w:rPr>
          <w:b w:val="0"/>
          <w:sz w:val="24"/>
        </w:rPr>
        <w:t xml:space="preserve">предназначена для складирования золы и шлаков. Золоотвал котельного цеха № 2 СП Хабаровская ТЭЦ состоит из д</w:t>
      </w:r>
      <w:r>
        <w:rPr>
          <w:b w:val="0"/>
          <w:sz w:val="24"/>
        </w:rPr>
        <w:t xml:space="preserve">вух карт (левая и правая). В ходе отопительного сезона по двум линиям золошлакопровода происходит заполнение золоотвала. Для безопасной и дальнейшей эксплуатации золоотвала необходимо ежегодно производить очистку площадок под выброс золошлаковых отходов.  </w:t>
      </w:r>
      <w:r>
        <w:rPr>
          <w:b w:val="0"/>
          <w:color w:val="3f3f3f"/>
          <w:sz w:val="24"/>
          <w:szCs w:val="24"/>
          <w:shd w:val="clear" w:color="auto" w:fill="f3f3f0"/>
        </w:rPr>
      </w:r>
    </w:p>
    <w:p>
      <w:pPr>
        <w:pStyle w:val="730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" w:name="_Toc54646400"/>
      <w:r>
        <w:rPr>
          <w:sz w:val="24"/>
          <w:szCs w:val="24"/>
        </w:rPr>
        <w:t xml:space="preserve">Таблица 1. Перечень объектов заказчика</w:t>
      </w:r>
      <w:bookmarkEnd w:id="1"/>
      <w:r/>
      <w:r>
        <w:rPr>
          <w:sz w:val="24"/>
          <w:szCs w:val="24"/>
        </w:rPr>
      </w:r>
    </w:p>
    <w:tbl>
      <w:tblPr>
        <w:tblW w:w="9918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01"/>
        <w:gridCol w:w="2392"/>
        <w:gridCol w:w="2224"/>
        <w:gridCol w:w="2231"/>
        <w:gridCol w:w="227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2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  <w:p>
            <w:pPr>
              <w:pStyle w:val="72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2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</w:t>
            </w:r>
            <w:r>
              <w:rPr>
                <w:sz w:val="22"/>
                <w:szCs w:val="22"/>
              </w:rPr>
            </w:r>
          </w:p>
          <w:p>
            <w:pPr>
              <w:pStyle w:val="729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  <w:br/>
            </w:r>
            <w:r>
              <w:rPr>
                <w:i/>
                <w:iCs/>
                <w:sz w:val="22"/>
                <w:szCs w:val="22"/>
              </w:rPr>
              <w:t xml:space="preserve">(место производства работ)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0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2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0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93"/>
              <w:numPr>
                <w:ilvl w:val="0"/>
                <w:numId w:val="4"/>
              </w:num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2" w:type="dxa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Очистка золоотвала Ургальской котельной</w:t>
            </w:r>
            <w:r>
              <w:rPr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Золоотвал расположен на расстоянии 1100 м на северо - запад от котельного цеха № 2 СП Хабаровская ТЭЦ-2 п. ЦЭС, Верхнебуреинского района, Хабаровского края.</w:t>
            </w:r>
            <w:r>
              <w:rPr>
                <w:i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Золоотвал (инв. №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C14000000002036</w:t>
            </w:r>
            <w:r>
              <w:rPr>
                <w:i/>
                <w:sz w:val="24"/>
                <w:szCs w:val="24"/>
              </w:rPr>
              <w:t xml:space="preserve">)</w:t>
            </w:r>
            <w:r>
              <w:rPr>
                <w:i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0" w:type="dxa"/>
            <w:textDirection w:val="lrTb"/>
            <w:noWrap w:val="false"/>
          </w:tcPr>
          <w:p>
            <w:pPr>
              <w:pStyle w:val="729"/>
              <w:widowControl w:val="off"/>
            </w:pPr>
            <w:r/>
            <w:r/>
          </w:p>
        </w:tc>
      </w:tr>
    </w:tbl>
    <w:p>
      <w:pPr>
        <w:pStyle w:val="733"/>
        <w:numPr>
          <w:ilvl w:val="1"/>
          <w:numId w:val="1"/>
        </w:numPr>
        <w:rPr>
          <w:spacing w:val="-5"/>
          <w:lang w:bidi="ru-RU"/>
        </w:rPr>
      </w:pPr>
      <w:r>
        <w:rPr>
          <w:spacing w:val="-5"/>
          <w:lang w:bidi="ru-RU"/>
        </w:rPr>
        <w:t xml:space="preserve">Иные требования и сведения общего характера</w:t>
      </w:r>
      <w:r>
        <w:rPr>
          <w:spacing w:val="-5"/>
          <w:lang w:bidi="ru-RU"/>
        </w:rPr>
      </w:r>
    </w:p>
    <w:p>
      <w:pPr>
        <w:pStyle w:val="729"/>
        <w:ind w:left="567" w:hanging="567"/>
        <w:jc w:val="both"/>
        <w:spacing w:line="360" w:lineRule="auto"/>
        <w:tabs>
          <w:tab w:val="left" w:pos="567" w:leader="none"/>
          <w:tab w:val="clear" w:pos="708" w:leader="none"/>
          <w:tab w:val="left" w:pos="709" w:leader="none"/>
        </w:tabs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- </w:t>
      </w:r>
      <w:r>
        <w:rPr>
          <w:sz w:val="24"/>
          <w:szCs w:val="24"/>
        </w:rPr>
        <w:t xml:space="preserve">Дополнительные данные предоставляются Заказчиком по письменному запросу Подрядчика.</w:t>
      </w:r>
      <w:r>
        <w:rPr>
          <w:sz w:val="24"/>
          <w:szCs w:val="24"/>
        </w:rPr>
      </w:r>
    </w:p>
    <w:p>
      <w:pPr>
        <w:pStyle w:val="729"/>
        <w:rPr>
          <w:color w:val="ff0000"/>
          <w:sz w:val="24"/>
        </w:rPr>
      </w:pPr>
      <w:r>
        <w:rPr>
          <w:color w:val="ff0000"/>
          <w:sz w:val="24"/>
        </w:rPr>
      </w:r>
      <w:r>
        <w:rPr>
          <w:color w:val="ff0000"/>
          <w:sz w:val="24"/>
        </w:rPr>
      </w:r>
    </w:p>
    <w:p>
      <w:pPr>
        <w:pStyle w:val="793"/>
        <w:numPr>
          <w:ilvl w:val="0"/>
          <w:numId w:val="1"/>
        </w:numPr>
        <w:contextualSpacing/>
        <w:jc w:val="center"/>
        <w:spacing w:before="0" w:after="0" w:line="360" w:lineRule="auto"/>
        <w:rPr>
          <w:b/>
          <w:sz w:val="24"/>
        </w:rPr>
      </w:pPr>
      <w:r>
        <w:rPr>
          <w:b/>
          <w:sz w:val="24"/>
        </w:rPr>
        <w:t xml:space="preserve">Требования к продукции</w:t>
      </w:r>
      <w:r>
        <w:rPr>
          <w:b/>
          <w:sz w:val="24"/>
        </w:rPr>
      </w:r>
    </w:p>
    <w:p>
      <w:pPr>
        <w:pStyle w:val="793"/>
        <w:numPr>
          <w:ilvl w:val="1"/>
          <w:numId w:val="1"/>
        </w:numPr>
        <w:contextualSpacing/>
        <w:spacing w:before="0" w:after="0" w:line="360" w:lineRule="auto"/>
        <w:rPr>
          <w:b/>
          <w:sz w:val="24"/>
        </w:rPr>
      </w:pPr>
      <w:r>
        <w:rPr>
          <w:b/>
          <w:sz w:val="24"/>
        </w:rPr>
        <w:t xml:space="preserve">Требования к объемам и срокам выполнения работ</w:t>
      </w:r>
      <w:r>
        <w:rPr>
          <w:b/>
          <w:sz w:val="24"/>
        </w:rPr>
      </w:r>
    </w:p>
    <w:p>
      <w:pPr>
        <w:pStyle w:val="732"/>
      </w:pPr>
      <w:r/>
      <w:bookmarkStart w:id="2" w:name="_Toc54646405"/>
      <w:r>
        <w:t xml:space="preserve">Требования к видам и объемам работ</w:t>
      </w:r>
      <w:bookmarkEnd w:id="2"/>
      <w:r/>
      <w:r/>
    </w:p>
    <w:p>
      <w:pPr>
        <w:pStyle w:val="729"/>
        <w:ind w:left="567" w:hanging="425"/>
        <w:spacing w:line="360" w:lineRule="auto"/>
        <w:rPr>
          <w:b/>
          <w:sz w:val="24"/>
        </w:rPr>
      </w:pPr>
      <w:r>
        <w:rPr>
          <w:b/>
          <w:sz w:val="24"/>
        </w:rPr>
        <w:t xml:space="preserve">Таблица 2. Перечень и объем выполняемых работ</w:t>
      </w:r>
      <w:r>
        <w:rPr>
          <w:b/>
          <w:sz w:val="24"/>
        </w:rPr>
      </w:r>
    </w:p>
    <w:tbl>
      <w:tblPr>
        <w:tblW w:w="9617" w:type="dxa"/>
        <w:tblInd w:w="22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50"/>
        <w:gridCol w:w="4849"/>
        <w:gridCol w:w="1984"/>
        <w:gridCol w:w="193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Очистка золоотвала Ургальской котельной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806"/>
              <w:jc w:val="both"/>
              <w:widowControl w:val="off"/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/>
                <w:spacing w:val="-5"/>
                <w:sz w:val="24"/>
                <w:szCs w:val="24"/>
                <w:lang w:eastAsia="ru-RU" w:bidi="ru-RU"/>
              </w:rPr>
              <w:t xml:space="preserve">Разработка грунта экскаваторами с погрузкой на автомобили-самосвалы, вместимость ковша 1 (1-1,2) м3, группа грунтов: 1 (прил 1.1 п. 42.а)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pacing w:val="-5"/>
                <w:sz w:val="24"/>
                <w:szCs w:val="24"/>
                <w:lang w:bidi="ru-RU"/>
                <w14:ligatures w14:val="none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м3</w:t>
            </w:r>
            <w:r>
              <w:rPr>
                <w:spacing w:val="-5"/>
                <w:sz w:val="24"/>
                <w:szCs w:val="24"/>
                <w:lang w:bidi="ru-RU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pacing w:val="-5"/>
                <w:sz w:val="24"/>
                <w:szCs w:val="24"/>
                <w:lang w:bidi="ru-RU"/>
                <w14:ligatures w14:val="none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4500,00</w:t>
            </w:r>
            <w:r>
              <w:rPr>
                <w:spacing w:val="-5"/>
                <w:sz w:val="24"/>
                <w:szCs w:val="24"/>
                <w:lang w:bidi="ru-RU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/>
                <w:spacing w:val="-5"/>
                <w:sz w:val="24"/>
                <w:szCs w:val="24"/>
                <w:lang w:eastAsia="ru-RU" w:bidi="ru-RU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 км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pacing w:val="-5"/>
                <w:sz w:val="24"/>
                <w:szCs w:val="24"/>
                <w:lang w:bidi="ru-RU"/>
                <w14:ligatures w14:val="none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т</w:t>
            </w:r>
            <w:r>
              <w:rPr>
                <w:spacing w:val="-5"/>
                <w:sz w:val="24"/>
                <w:szCs w:val="24"/>
                <w:lang w:bidi="ru-RU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pacing w:val="-5"/>
                <w:sz w:val="24"/>
                <w:szCs w:val="24"/>
                <w:lang w:bidi="ru-RU"/>
                <w14:ligatures w14:val="none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3150,00</w:t>
            </w:r>
            <w:r>
              <w:rPr>
                <w:spacing w:val="-5"/>
                <w:sz w:val="24"/>
                <w:szCs w:val="24"/>
                <w:lang w:bidi="ru-RU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/>
                <w:spacing w:val="-5"/>
                <w:sz w:val="24"/>
                <w:szCs w:val="24"/>
                <w:lang w:eastAsia="ru-RU" w:bidi="ru-RU"/>
              </w:rPr>
              <w:t xml:space="preserve">Разработка грунта с перемещением до 10 м бульдозерами мощностью: 96 кВт (130 л.с.), группа грунтов 1 (прил 1.1 п. 42.а)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r>
            <w:r>
              <w:rPr>
                <w:rFonts w:eastAsia="Times New Roman" w:cs="Times New Roman"/>
                <w:spacing w:val="-5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eastAsia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pacing w:val="-5"/>
                <w:sz w:val="24"/>
                <w:szCs w:val="24"/>
                <w:lang w:bidi="ru-RU"/>
                <w14:ligatures w14:val="none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м3</w:t>
            </w:r>
            <w:r>
              <w:rPr>
                <w:spacing w:val="-5"/>
                <w:sz w:val="24"/>
                <w:szCs w:val="24"/>
                <w:lang w:bidi="ru-RU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pacing w:val="-5"/>
                <w:sz w:val="24"/>
                <w:szCs w:val="24"/>
                <w:lang w:bidi="ru-RU"/>
                <w14:ligatures w14:val="none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6042,011</w:t>
            </w:r>
            <w:r>
              <w:rPr>
                <w:spacing w:val="-5"/>
                <w:sz w:val="24"/>
                <w:szCs w:val="24"/>
                <w:lang w:bidi="ru-RU"/>
                <w14:ligatures w14:val="none"/>
              </w:rPr>
            </w:r>
          </w:p>
        </w:tc>
      </w:tr>
    </w:tbl>
    <w:p>
      <w:pPr>
        <w:pStyle w:val="729"/>
        <w:ind w:left="567" w:hanging="567"/>
        <w:spacing w:line="36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29"/>
        <w:ind w:left="567" w:hanging="567"/>
        <w:spacing w:line="360" w:lineRule="auto"/>
        <w:rPr>
          <w:b/>
          <w:sz w:val="24"/>
        </w:rPr>
      </w:pPr>
      <w:r>
        <w:rPr>
          <w:b/>
          <w:sz w:val="24"/>
        </w:rPr>
        <w:t xml:space="preserve">2.1.2.</w:t>
        <w:tab/>
        <w:t xml:space="preserve">Требования к срокам выполнения работ</w:t>
      </w:r>
      <w:r>
        <w:rPr>
          <w:b/>
          <w:sz w:val="24"/>
        </w:rPr>
      </w:r>
    </w:p>
    <w:p>
      <w:pPr>
        <w:pStyle w:val="800"/>
        <w:numPr>
          <w:ilvl w:val="0"/>
          <w:numId w:val="0"/>
        </w:numPr>
        <w:ind w:left="0" w:firstLine="0"/>
        <w:jc w:val="left"/>
        <w:outlineLvl w:val="0"/>
      </w:pPr>
      <w:r/>
      <w:bookmarkStart w:id="3" w:name="_Toc54643134"/>
      <w:r>
        <w:t xml:space="preserve">Таблица 3. Требования по срокам выполнения работ</w:t>
      </w:r>
      <w:bookmarkEnd w:id="3"/>
      <w:r/>
      <w:r/>
    </w:p>
    <w:p>
      <w:pPr>
        <w:pStyle w:val="800"/>
        <w:numPr>
          <w:ilvl w:val="0"/>
          <w:numId w:val="0"/>
        </w:numPr>
        <w:ind w:left="0" w:firstLine="0"/>
        <w:jc w:val="left"/>
        <w:outlineLvl w:val="0"/>
      </w:pPr>
      <w:r/>
      <w:r/>
    </w:p>
    <w:tbl>
      <w:tblPr>
        <w:tblW w:w="9889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4"/>
        <w:gridCol w:w="3397"/>
        <w:gridCol w:w="2812"/>
        <w:gridCol w:w="2975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№ </w:t>
            </w:r>
            <w:r>
              <w:rPr>
                <w:sz w:val="24"/>
                <w:szCs w:val="22"/>
              </w:rPr>
              <w:t xml:space="preserve">п/п</w:t>
            </w:r>
            <w:r>
              <w:rPr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7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Наименование работ/ этапа работ</w:t>
            </w:r>
            <w:r>
              <w:rPr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2" w:type="dxa"/>
            <w:vAlign w:val="center"/>
            <w:textDirection w:val="lrTb"/>
            <w:noWrap w:val="false"/>
          </w:tcPr>
          <w:p>
            <w:pPr>
              <w:pStyle w:val="801"/>
              <w:jc w:val="center"/>
              <w:keepNext w:val="0"/>
              <w:spacing w:before="40" w:after="40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vAlign w:val="center"/>
            <w:textDirection w:val="lrTb"/>
            <w:noWrap w:val="false"/>
          </w:tcPr>
          <w:p>
            <w:pPr>
              <w:pStyle w:val="801"/>
              <w:jc w:val="center"/>
              <w:keepNext w:val="0"/>
              <w:spacing w:before="40" w:after="40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7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2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63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</w:t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widowControl w:val="off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Очистка золоотвала Ургальской котельной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2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iCs/>
                <w:sz w:val="22"/>
                <w:szCs w:val="22"/>
                <w:shd w:val="clear" w:color="auto" w:fill="auto"/>
              </w:rPr>
              <w:t xml:space="preserve">С даты заключения договора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5" w:type="dxa"/>
            <w:textDirection w:val="lrTb"/>
            <w:noWrap w:val="false"/>
          </w:tcPr>
          <w:p>
            <w:pPr>
              <w:pStyle w:val="729"/>
              <w:jc w:val="center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iCs/>
                <w:sz w:val="22"/>
                <w:szCs w:val="22"/>
                <w:shd w:val="clear" w:color="auto" w:fill="auto"/>
              </w:rPr>
              <w:t xml:space="preserve">В течении 60 календарных дней</w:t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sectPr>
          <w:footerReference w:type="default" r:id="rId10"/>
          <w:footerReference w:type="first" r:id="rId11"/>
          <w:footnotePr/>
          <w:endnotePr/>
          <w:type w:val="nextPage"/>
          <w:pgSz w:w="11906" w:h="16838" w:orient="portrait"/>
          <w:pgMar w:top="1134" w:right="850" w:bottom="1134" w:left="1134" w:header="0" w:footer="708" w:gutter="0"/>
          <w:cols w:num="1" w:sep="0" w:space="1701" w:equalWidth="1"/>
          <w:docGrid w:linePitch="360"/>
        </w:sectPr>
      </w:pPr>
      <w:r/>
      <w:r/>
    </w:p>
    <w:p>
      <w:pPr>
        <w:pStyle w:val="729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29"/>
        <w:rPr>
          <w:b/>
          <w:sz w:val="24"/>
        </w:rPr>
      </w:pPr>
      <w:r>
        <w:rPr>
          <w:b/>
          <w:sz w:val="24"/>
        </w:rPr>
        <w:t xml:space="preserve">2.2 Требования к качеству работ</w:t>
      </w:r>
      <w:r>
        <w:rPr>
          <w:b/>
          <w:sz w:val="24"/>
        </w:rPr>
      </w:r>
    </w:p>
    <w:p>
      <w:pPr>
        <w:pStyle w:val="729"/>
        <w:tabs>
          <w:tab w:val="clear" w:pos="708" w:leader="none"/>
          <w:tab w:val="left" w:pos="3002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29"/>
        <w:jc w:val="both"/>
        <w:tabs>
          <w:tab w:val="clear" w:pos="708" w:leader="none"/>
          <w:tab w:val="left" w:pos="3002" w:leader="none"/>
        </w:tabs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Таблица 4. Требования к качеству работ  </w:t>
      </w:r>
      <w:r>
        <w:rPr>
          <w:b/>
          <w:bCs/>
          <w:sz w:val="24"/>
          <w:szCs w:val="24"/>
          <w:highlight w:val="none"/>
        </w:rPr>
      </w:r>
    </w:p>
    <w:p>
      <w:pPr>
        <w:pStyle w:val="729"/>
        <w:jc w:val="both"/>
        <w:spacing w:before="0" w:after="120"/>
        <w:rPr>
          <w:b w:val="0"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работ: </w:t>
      </w:r>
      <w:r>
        <w:rPr>
          <w:b/>
          <w:bCs/>
          <w:sz w:val="24"/>
          <w:szCs w:val="24"/>
          <w:shd w:val="clear" w:color="auto" w:fill="auto"/>
        </w:rPr>
        <w:t xml:space="preserve"> </w:t>
      </w:r>
      <w:r>
        <w:rPr>
          <w:rFonts w:eastAsia="Calibri" w:cs="Times New Roman"/>
          <w:b/>
          <w:bCs/>
          <w:sz w:val="24"/>
          <w:szCs w:val="24"/>
          <w:shd w:val="clear" w:color="auto" w:fill="auto"/>
          <w:lang w:eastAsia="ru-RU"/>
        </w:rPr>
        <w:t xml:space="preserve">«ОКПД 2 43.12.11.190 Выполнение работ по очистке золоотвала для котельного цеха № 2 (Ургальская ЦЭС) Хабаровской ТЭЦ-2, пос. Чегдомын»</w:t>
      </w:r>
      <w:r>
        <w:rPr>
          <w:b w:val="0"/>
          <w:iCs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15086" w:type="dxa"/>
        <w:jc w:val="center"/>
        <w:tblInd w:w="0" w:type="dxa"/>
        <w:tblLayout w:type="fixed"/>
        <w:tblCellMar>
          <w:left w:w="108" w:type="dxa"/>
          <w:top w:w="55" w:type="dxa"/>
          <w:right w:w="108" w:type="dxa"/>
          <w:bottom w:w="55" w:type="dxa"/>
        </w:tblCellMar>
        <w:tblLook w:val="04A0" w:firstRow="1" w:lastRow="0" w:firstColumn="1" w:lastColumn="0" w:noHBand="0" w:noVBand="1"/>
      </w:tblPr>
      <w:tblGrid>
        <w:gridCol w:w="712"/>
        <w:gridCol w:w="2771"/>
        <w:gridCol w:w="1611"/>
        <w:gridCol w:w="2805"/>
        <w:gridCol w:w="1900"/>
        <w:gridCol w:w="2648"/>
        <w:gridCol w:w="263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vMerge w:val="restart"/>
            <w:textDirection w:val="lrTb"/>
            <w:noWrap w:val="false"/>
          </w:tcPr>
          <w:p>
            <w:pPr>
              <w:pStyle w:val="729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71" w:type="dxa"/>
            <w:vAlign w:val="center"/>
            <w:vMerge w:val="restart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316" w:type="dxa"/>
            <w:vAlign w:val="center"/>
            <w:vMerge w:val="restart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87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771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</w:tcBorders>
            <w:tcW w:w="6316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771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</w:tcBorders>
            <w:tcW w:w="6316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restart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29"/>
              <w:numPr>
                <w:ilvl w:val="0"/>
                <w:numId w:val="0"/>
              </w:numPr>
              <w:ind w:left="0" w:right="0" w:firstLine="0"/>
              <w:jc w:val="center"/>
              <w:spacing w:before="0" w:after="0" w:line="100" w:lineRule="atLeast"/>
              <w:widowControl w:val="off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29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Очистка золоотвала Ургальской котельной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382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0"/>
              </w:numPr>
              <w:ind w:left="0" w:firstLine="0"/>
              <w:jc w:val="both"/>
              <w:keepNext w:val="0"/>
              <w:spacing w:before="0" w:after="0" w:line="240" w:lineRule="auto"/>
              <w:widowControl w:val="off"/>
              <w:rPr>
                <w:rFonts w:eastAsia="Times New Roman"/>
                <w:b w:val="0"/>
                <w:iCs/>
                <w:sz w:val="24"/>
                <w:szCs w:val="24"/>
              </w:rPr>
              <w:outlineLvl w:val="2"/>
            </w:pPr>
            <w:r>
              <w:rPr>
                <w:rFonts w:eastAsia="Times New Roman" w:cs="Times New Roman"/>
                <w:b w:val="0"/>
                <w:iCs/>
                <w:sz w:val="24"/>
                <w:szCs w:val="24"/>
                <w:lang w:val="ru-RU" w:eastAsia="ru-RU" w:bidi="ar-SA"/>
              </w:rPr>
              <w:t xml:space="preserve">Технические требования к продукции</w:t>
            </w:r>
            <w:r>
              <w:rPr>
                <w:rFonts w:eastAsia="Times New Roman"/>
                <w:b w:val="0"/>
                <w:iCs/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705" w:type="dxa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Выполнение работ подрядчиком осуществляется в соответствие требованиям Заказчика, в соотвествии с НТД.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1.2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1.2.1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382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организации процесса выполнения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705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shd w:val="clear" w:color="auto" w:fill="ffffff"/>
              <w:widowControl w:val="off"/>
              <w:tabs>
                <w:tab w:val="clear" w:pos="708" w:leader="none"/>
                <w:tab w:val="left" w:pos="1418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До начала выполнения Работ предоставить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: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93"/>
              <w:numPr>
                <w:ilvl w:val="0"/>
                <w:numId w:val="3"/>
              </w:numPr>
              <w:contextualSpacing/>
              <w:ind w:left="0" w:firstLine="35"/>
              <w:jc w:val="both"/>
              <w:spacing w:before="0" w:after="0"/>
              <w:shd w:val="clear" w:color="auto" w:fill="ffffff"/>
              <w:widowControl w:val="off"/>
              <w:tabs>
                <w:tab w:val="left" w:pos="602" w:leader="none"/>
                <w:tab w:val="clear" w:pos="708" w:leader="none"/>
                <w:tab w:val="left" w:pos="1418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;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93"/>
              <w:numPr>
                <w:ilvl w:val="0"/>
                <w:numId w:val="3"/>
              </w:numPr>
              <w:contextualSpacing/>
              <w:ind w:left="0" w:firstLine="35"/>
              <w:jc w:val="both"/>
              <w:spacing w:before="0" w:after="0"/>
              <w:shd w:val="clear" w:color="auto" w:fill="ffffff"/>
              <w:widowControl w:val="off"/>
              <w:tabs>
                <w:tab w:val="left" w:pos="602" w:leader="none"/>
                <w:tab w:val="clear" w:pos="708" w:leader="none"/>
                <w:tab w:val="left" w:pos="141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bidi="ar-SA"/>
              </w:rPr>
              <w:t xml:space="preserve">контакты и должность представителя Подрядчика, ответственного за соблюдение норм и правил в облас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1.3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1.3.1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382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оборудованию и материалам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705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14" w:after="0" w:line="274" w:lineRule="exact"/>
              <w:shd w:val="clear" w:color="auto" w:fill="ffffff"/>
              <w:widowControl w:val="off"/>
              <w:tabs>
                <w:tab w:val="clear" w:pos="708" w:leader="none"/>
                <w:tab w:val="left" w:pos="709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Наличие необходимой для оказания услуг техники.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14" w:after="0" w:line="274" w:lineRule="exact"/>
              <w:shd w:val="clear" w:color="auto" w:fill="ffffff"/>
              <w:widowControl w:val="off"/>
              <w:tabs>
                <w:tab w:val="clear" w:pos="708" w:leader="none"/>
                <w:tab w:val="left" w:pos="709" w:leader="none"/>
              </w:tabs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1.4</w:t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персоналу подрядчика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1.4.1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382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705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shd w:val="clear" w:color="auto" w:fill="ffffff"/>
              <w:widowControl w:val="off"/>
              <w:tabs>
                <w:tab w:val="clear" w:pos="708" w:leader="none"/>
                <w:tab w:val="left" w:pos="1418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Выполнять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1.5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1.5.1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382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безопасности выполняемых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705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bidi="ar-SA"/>
              </w:rPr>
              <w:t xml:space="preserve">Провести инструктаж персоналу, задействованного при выполнении Работ на территории Заказчика, обеспечить соблюдение (в том числе указа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результатам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Общие требования к результатам работ: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 </w:t>
            </w:r>
            <w:r>
              <w:rPr>
                <w:sz w:val="24"/>
                <w:szCs w:val="24"/>
                <w:lang w:val="ru-RU" w:bidi="ar-SA"/>
              </w:rPr>
              <w:t xml:space="preserve"> 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Услуги по очистке золоотвала должны быть выполнены качественно и в срок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2.3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порядку приемки результатов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Подробно указаны в проекте договора подряда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3.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3.1.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382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4705" w:type="dxa"/>
            <w:vAlign w:val="center"/>
            <w:textDirection w:val="lrTb"/>
            <w:noWrap w:val="false"/>
          </w:tcPr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Работы должны осуществляться в соответствии</w:t>
            </w:r>
            <w:r>
              <w:rPr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с национальными, отраслевыми и корпоративными (ПАО «РусГидро») нормативно-техническими документами (НТД) и нормативно-правовыми актами (НПА), действующим для энергетических предприятий на территории РФ, в том числе: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от 21 июля 2011 года №256-ФЗ «О безопасности объектов топливно-энергетического комплекса»;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Постановление Правительства РФ от 05.05.2012 №458 «Об утверждении Правил по обеспечению безопасности и антитеррористической защищённости объектов ТЭК»;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left" w:pos="505" w:leader="none"/>
                <w:tab w:val="clear" w:pos="708" w:leader="none"/>
                <w:tab w:val="left" w:pos="950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</w:t>
            </w:r>
            <w:r>
              <w:rPr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от 27.07.2006 №149-ФЗ «Об информации, информационных технологиях и о защите информации»;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</w:t>
            </w:r>
            <w:r>
              <w:rPr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от 10.01.2002 №7 – ФЗ «Об охране окружающей среды»;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от 26.07.2017 №187-ФЗ «О безопасности критической информационной инфраструктуры РФ»;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от 30.12.2009 №384-ФЗ от 30.12.2009 «Технический регламент о безопасности зданий и сооружений»;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</w:t>
            </w:r>
            <w:r>
              <w:rPr>
                <w:sz w:val="24"/>
                <w:szCs w:val="24"/>
                <w:lang w:val="ru-RU" w:bidi="ar-SA"/>
              </w:rPr>
              <w:t xml:space="preserve">от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 27.12.2002 №184-ФЗ «О техническом регулировании»;</w:t>
            </w:r>
            <w:r>
              <w:rPr>
                <w:spacing w:val="-5"/>
                <w:sz w:val="24"/>
                <w:szCs w:val="24"/>
              </w:rPr>
            </w:r>
          </w:p>
          <w:p>
            <w:pPr>
              <w:pStyle w:val="729"/>
              <w:ind w:firstLine="184"/>
              <w:jc w:val="both"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Постановление Правительства РФ от 05.05.2012 №459 «Об исходных данных для проведения категорирования объекта ТЭК, порядке его проведения и критериях категорирования».</w:t>
            </w:r>
            <w:r>
              <w:rPr>
                <w:spacing w:val="-5"/>
                <w:sz w:val="24"/>
                <w:szCs w:val="24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4.1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ответственности подрядчика: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Подробно указаны в проекте договора </w:t>
            </w:r>
            <w:r>
              <w:rPr>
                <w:iCs/>
                <w:sz w:val="24"/>
                <w:szCs w:val="24"/>
                <w:lang w:val="ru-RU" w:bidi="ar-SA"/>
              </w:rPr>
              <w:t xml:space="preserve"> подряда  на выполнение работ</w:t>
            </w:r>
            <w:r>
              <w:rPr>
                <w:sz w:val="24"/>
                <w:szCs w:val="24"/>
                <w:lang w:val="ru-RU" w:bidi="ar-SA"/>
              </w:rPr>
              <w:t xml:space="preserve">, который включен в состав Запроса.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5.1.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ru-RU" w:bidi="ar-SA"/>
              </w:rPr>
              <w:t xml:space="preserve">Требования к субподрядным организациям, привлекаемым к выполнению работ: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729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bidi="ar-SA"/>
              </w:rPr>
              <w:t xml:space="preserve">Работа без привлечения субподрядных организаций.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Прочие требования к выполняемым работам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29"/>
              <w:jc w:val="both"/>
              <w:spacing w:before="0" w:after="0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Работы выполняются согласно условиям договора подряда</w:t>
            </w:r>
            <w:r>
              <w:rPr>
                <w:iCs/>
                <w:sz w:val="24"/>
                <w:szCs w:val="24"/>
                <w:lang w:val="ru-RU" w:bidi="ar-SA"/>
              </w:rPr>
              <w:t xml:space="preserve">  на выполнение работ,</w:t>
            </w:r>
            <w:r>
              <w:rPr>
                <w:sz w:val="24"/>
                <w:szCs w:val="24"/>
                <w:lang w:val="ru-RU" w:bidi="ar-SA"/>
              </w:rPr>
              <w:t xml:space="preserve"> который включен в состав Запроса.</w:t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7</w:t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4"/>
            <w:tcBorders>
              <w:left w:val="single" w:color="000000" w:sz="4" w:space="0"/>
              <w:bottom w:val="single" w:color="000000" w:sz="4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pStyle w:val="729"/>
              <w:contextualSpacing/>
              <w:jc w:val="left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Требования к победителю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648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9" w:type="dxa"/>
            <w:vAlign w:val="center"/>
            <w:textDirection w:val="lrTb"/>
            <w:noWrap w:val="false"/>
          </w:tcPr>
          <w:p>
            <w:pPr>
              <w:pStyle w:val="729"/>
              <w:jc w:val="center"/>
              <w:spacing w:before="0" w:after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</w:t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4" w:type="dxa"/>
            <w:vAlign w:val="center"/>
            <w:textDirection w:val="lrTb"/>
            <w:noWrap w:val="false"/>
          </w:tcPr>
          <w:p>
            <w:pPr>
              <w:pStyle w:val="729"/>
              <w:contextualSpacing/>
              <w:ind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победителем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7" w:tooltip="http://www.zakupki.gov.ru/" w:history="1">
              <w:r>
                <w:rPr>
                  <w:rStyle w:val="765"/>
                  <w:rFonts w:eastAsia="Times New Roman" w:cs="Times New Roman"/>
                  <w:sz w:val="24"/>
                  <w:szCs w:val="24"/>
                  <w:highlight w:val="white"/>
                  <w:lang w:val="ru-RU" w:eastAsia="en-US" w:bidi="ar-SA"/>
                </w:rPr>
                <w:t xml:space="preserve">www.zakupki.gov.ru</w:t>
              </w:r>
            </w:hyperlink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(до заключения договора), должен предоставить в адрес Заказчика на электронный адрес </w:t>
            </w:r>
            <w:hyperlink r:id="rId18" w:tooltip="mailto:RoySA@rushydro.ru" w:history="1">
              <w:r>
                <w:rPr>
                  <w:rStyle w:val="765"/>
                  <w:rFonts w:eastAsia="Times New Roman" w:cs="Times New Roman"/>
                  <w:sz w:val="24"/>
                  <w:szCs w:val="24"/>
                  <w:highlight w:val="white"/>
                  <w:lang w:val="ru-RU" w:eastAsia="en-US" w:bidi="ar-SA"/>
                </w:rPr>
                <w:t xml:space="preserve">RoySA@rushydro.ru</w:t>
              </w:r>
            </w:hyperlink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дополнительные документы.</w:t>
            </w:r>
            <w:r>
              <w:rPr>
                <w:sz w:val="24"/>
                <w:szCs w:val="24"/>
              </w:rPr>
            </w:r>
          </w:p>
          <w:p>
            <w:pPr>
              <w:pStyle w:val="793"/>
              <w:contextualSpacing/>
              <w:ind w:left="0" w:firstLine="720"/>
              <w:jc w:val="both"/>
              <w:spacing w:before="0" w:after="0" w:line="240" w:lineRule="auto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lang w:val="ru-RU" w:eastAsia="en-US" w:bidi="ar-SA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eastAsia="Times New Roman"/>
                <w:sz w:val="24"/>
                <w:szCs w:val="24"/>
                <w:lang w:val="ru-RU" w:eastAsia="en-US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12" w:type="dxa"/>
            <w:textDirection w:val="lrTb"/>
            <w:noWrap w:val="false"/>
          </w:tcPr>
          <w:p>
            <w:pPr>
              <w:pStyle w:val="729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</w:tcBorders>
            <w:tcW w:w="7187" w:type="dxa"/>
            <w:textDirection w:val="lrTb"/>
            <w:noWrap w:val="false"/>
          </w:tcPr>
          <w:p>
            <w:pPr>
              <w:pStyle w:val="729"/>
              <w:contextualSpacing/>
              <w:jc w:val="left"/>
              <w:spacing w:before="0" w:after="0" w:line="276" w:lineRule="auto"/>
              <w:widowControl w:val="o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победителя: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firstLine="720"/>
              <w:jc w:val="both"/>
              <w:spacing w:before="0" w:after="0" w:line="240" w:lineRule="auto"/>
              <w:widowControl w:val="off"/>
              <w:rPr>
                <w:rFonts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eastAsia="Times New Roman" w:cs="Times New Roman"/>
                <w:b w:val="0"/>
                <w:bCs w:val="0"/>
                <w:color w:val="auto"/>
                <w:sz w:val="24"/>
                <w:szCs w:val="24"/>
                <w:highlight w:val="white"/>
                <w:u w:val="none"/>
                <w:lang w:val="ru-RU" w:eastAsia="en-US" w:bidi="ar-SA"/>
              </w:rPr>
              <w:t xml:space="preserve">Согласно требования п.92 Постановления правительства Российской федерации от 24.12.2021 г.№2464 «О порядке обучения по охране труда и проверки знаний требований охраны труда»: - иметь в наличие не менее 3 человек (руководитель, производитель рабо</w:t>
            </w: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  <w:u w:val="none"/>
                <w:lang w:val="ru-RU" w:eastAsia="en-US" w:bidi="ar-SA"/>
              </w:rPr>
              <w:t xml:space="preserve">т и всех членов бригады) прошедших проверку знаний требований охраны труда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r>
            <w:r>
              <w:rPr>
                <w:rFonts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  <w:u w:val="single"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материально техническим ресурсам победителя:</w:t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bookmarkStart w:id="4" w:name="undefined_Копия_1_Копия_1"/>
            <w:r>
              <w:rPr>
                <w:rFonts w:eastAsia="Times New Roman" w:cs="Times New Roman"/>
                <w:b w:val="0"/>
                <w:sz w:val="24"/>
                <w:szCs w:val="24"/>
                <w:highlight w:val="white"/>
                <w:lang w:val="ru-RU" w:eastAsia="en-US" w:bidi="ar-SA"/>
              </w:rPr>
              <w:t xml:space="preserve">Победитель должен иметь в наличии на законных основаниях (на правах собственности / аренды/ лизинга /ином законном праве испол</w:t>
            </w:r>
            <w:r>
              <w:rPr>
                <w:rFonts w:eastAsia="Times New Roman" w:cs="Times New Roman"/>
                <w:b w:val="0"/>
                <w:sz w:val="24"/>
                <w:szCs w:val="24"/>
                <w:highlight w:val="white"/>
                <w:lang w:val="ru-RU" w:eastAsia="en-US" w:bidi="ar-SA"/>
              </w:rPr>
              <w:t xml:space="preserve">ьзования, владения) минимальное количество машин и транспортных средств необходимое для выполнения указанных в настоящих Технических требованиях работ, а также резерв машин и транспортных средств, на время нахождения в ремонте и на техническом обслуживании</w:t>
            </w:r>
            <w:bookmarkEnd w:id="4"/>
            <w:r>
              <w:rPr>
                <w:rFonts w:eastAsia="Times New Roman" w:cs="Times New Roman"/>
                <w:b w:val="0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-</w:t>
            </w: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ru-RU" w:bidi="ru-RU"/>
              </w:rPr>
              <w:t xml:space="preserve">экскаватор не менее 1 шт с вместимостью ковша 1 (1-1,2) м</w:t>
            </w: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  <w:vertAlign w:val="superscript"/>
                <w:lang w:val="ru-RU" w:eastAsia="ru-RU" w:bidi="ru-RU"/>
              </w:rPr>
              <w:t xml:space="preserve">3</w:t>
            </w: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ru-RU" w:bidi="ru-RU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lang w:val="ru-RU" w:eastAsia="ru-RU" w:bidi="ru-RU"/>
              </w:rPr>
              <w:t xml:space="preserve">-</w:t>
            </w: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ru-RU" w:bidi="ru-RU"/>
              </w:rPr>
              <w:t xml:space="preserve"> автомобиль-самосвал не менее 1 шт грузоподъемностью до 15 т для перевозки грузов I класса;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lang w:val="ru-RU" w:eastAsia="ru-RU" w:bidi="ru-RU"/>
              </w:rPr>
              <w:t xml:space="preserve">-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val="ru-RU" w:eastAsia="ru-RU" w:bidi="ru-RU"/>
              </w:rPr>
              <w:t xml:space="preserve">бульдозер не менее 1 шт мощностью: 96 кВт (130 л.с.)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7" w:type="dxa"/>
            <w:textDirection w:val="lrTb"/>
            <w:noWrap w:val="false"/>
          </w:tcPr>
          <w:p>
            <w:pPr>
              <w:pStyle w:val="729"/>
              <w:contextualSpacing/>
              <w:ind w:right="141" w:firstLine="0"/>
              <w:jc w:val="left"/>
              <w:spacing w:before="0" w:after="0" w:line="276" w:lineRule="auto"/>
              <w:widowControl w:val="o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numPr>
                <w:ilvl w:val="0"/>
                <w:numId w:val="6"/>
              </w:numPr>
              <w:contextualSpacing/>
              <w:ind w:left="0" w:right="141" w:firstLine="0"/>
              <w:jc w:val="both"/>
              <w:spacing w:before="0" w:after="0" w:line="240" w:lineRule="auto"/>
              <w:widowControl w:val="off"/>
              <w:rPr>
                <w:rFonts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6"/>
              </w:numPr>
              <w:contextualSpacing/>
              <w:ind w:left="0" w:right="141" w:firstLine="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Копией свидетельства о регистрации транспортного средства либо копию ПТС/ПСМ (в случае наличия на правах собственности);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2.1 Копии, заверенных Участником документов (в случае отсутствия собственных МТР), по своему усмотрению из перечисленных: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- договор аренды/ договор на оказание услуг машин и транспортных средств,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- соглашение о намерениях заключить договор аренды/ соглашение о намерениях заключить договор на оказание услуг машин и транспортных средств.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- гарантийное письмо о заключении договора аренды/ гарантийное письмо о заключении договора на оказание услуг машин и транспортных средств.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72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- иные документы, подтверждающие право владения/распоряжения.</w:t>
            </w:r>
            <w:r>
              <w:rPr>
                <w:sz w:val="24"/>
                <w:szCs w:val="24"/>
              </w:rPr>
            </w:r>
          </w:p>
          <w:p>
            <w:pPr>
              <w:pStyle w:val="729"/>
              <w:contextualSpacing/>
              <w:ind w:left="0" w:right="141" w:firstLine="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</w:rPr>
              <w:t xml:space="preserve">2.2</w:t>
            </w:r>
            <w:bookmarkStart w:id="5" w:name="undefined_Копия_2_Копия_3"/>
            <w:r>
              <w:rPr>
                <w:sz w:val="24"/>
                <w:szCs w:val="24"/>
              </w:rPr>
            </w:r>
            <w:bookmarkEnd w:id="5"/>
            <w:r>
              <w:rPr>
                <w:rFonts w:eastAsia="Times New Roman"/>
                <w:sz w:val="24"/>
                <w:szCs w:val="24"/>
              </w:rPr>
              <w:t xml:space="preserve"> В случае привле</w:t>
            </w:r>
            <w:r>
              <w:rPr>
                <w:rFonts w:eastAsia="Times New Roman"/>
                <w:sz w:val="24"/>
                <w:szCs w:val="24"/>
              </w:rPr>
              <w:t xml:space="preserve">чения для исполнения обязательств по договору третьих лиц, исполнитель обязан предоставить заказчику, документы, подтверждающие законность хозяйственных отношений исполнителя и третьих лиц (договор подряда, договор аренды, соглашение о намерениях, прочие).</w:t>
            </w: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12"/>
          <w:footerReference w:type="first" r:id="rId13"/>
          <w:footnotePr/>
          <w:endnotePr/>
          <w:type w:val="nextPage"/>
          <w:pgSz w:w="16838" w:h="11906" w:orient="landscape"/>
          <w:pgMar w:top="426" w:right="1134" w:bottom="850" w:left="1134" w:header="0" w:footer="708" w:gutter="0"/>
          <w:cols w:num="1" w:sep="0" w:space="1701" w:equalWidth="1"/>
          <w:docGrid w:linePitch="360"/>
        </w:sectPr>
      </w:pPr>
      <w:r/>
      <w:r/>
    </w:p>
    <w:p>
      <w:pPr>
        <w:pStyle w:val="730"/>
        <w:numPr>
          <w:ilvl w:val="0"/>
          <w:numId w:val="5"/>
        </w:numPr>
        <w:jc w:val="center"/>
        <w:keepLines/>
        <w:spacing w:before="120" w:after="0"/>
        <w:rPr>
          <w:sz w:val="24"/>
          <w:szCs w:val="24"/>
        </w:rPr>
      </w:pPr>
      <w:r>
        <w:rPr>
          <w:sz w:val="24"/>
          <w:szCs w:val="24"/>
        </w:rPr>
      </w:r>
      <w:bookmarkStart w:id="6" w:name="undefined_Копия_1"/>
      <w:r>
        <w:rPr>
          <w:sz w:val="24"/>
          <w:szCs w:val="24"/>
        </w:rPr>
        <w:t xml:space="preserve">Требования к документации по ценообразованию на этапе закупки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3"/>
        <w:numPr>
          <w:ilvl w:val="1"/>
          <w:numId w:val="5"/>
        </w:numPr>
        <w:contextualSpacing/>
        <w:ind w:left="0" w:right="0" w:firstLine="283"/>
        <w:jc w:val="both"/>
        <w:spacing w:before="0" w:beforeAutospacing="0" w:after="0" w:afterAutospacing="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</w:t>
      </w:r>
      <w:r>
        <w:rPr>
          <w:sz w:val="24"/>
          <w:szCs w:val="24"/>
          <w:shd w:val="clear" w:color="auto" w:fill="auto"/>
        </w:rPr>
        <w:t xml:space="preserve">). Размер данного коэффициента рекомендуется учитывать с округлением до 7 знаков после запятой).</w:t>
      </w:r>
      <w:r>
        <w:rPr>
          <w:sz w:val="24"/>
          <w:szCs w:val="24"/>
          <w:highlight w:val="yellow"/>
        </w:rPr>
      </w:r>
    </w:p>
    <w:p>
      <w:pPr>
        <w:pStyle w:val="793"/>
        <w:numPr>
          <w:ilvl w:val="1"/>
          <w:numId w:val="5"/>
        </w:numPr>
        <w:contextualSpacing/>
        <w:ind w:left="0" w:right="0" w:firstLine="283"/>
        <w:jc w:val="both"/>
        <w:spacing w:before="0" w:beforeAutospacing="0" w:after="0" w:afterAutospacing="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</w:rPr>
      </w:r>
    </w:p>
    <w:p>
      <w:pPr>
        <w:pStyle w:val="729"/>
        <w:ind w:left="360" w:firstLine="0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730"/>
        <w:numPr>
          <w:ilvl w:val="0"/>
          <w:numId w:val="0"/>
        </w:numPr>
        <w:ind w:left="141" w:hanging="141"/>
        <w:jc w:val="center"/>
        <w:keepLines/>
        <w:spacing w:before="0" w:beforeAutospacing="0" w:after="0" w:afterAutospacing="0" w:line="283" w:lineRule="exact"/>
        <w:rPr>
          <w:sz w:val="24"/>
          <w:szCs w:val="24"/>
          <w:highlight w:val="none"/>
        </w:rPr>
      </w:pPr>
      <w:r>
        <w:rPr>
          <w:sz w:val="24"/>
          <w:szCs w:val="24"/>
        </w:rPr>
      </w:r>
      <w:bookmarkStart w:id="7" w:name="undefined_Копия_2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4. Требования к документации по ценообразованию на этапе заключения (исполнения)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7"/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730"/>
        <w:numPr>
          <w:ilvl w:val="0"/>
          <w:numId w:val="0"/>
        </w:numPr>
        <w:ind w:left="141" w:hanging="141"/>
        <w:jc w:val="center"/>
        <w:keepLines/>
        <w:spacing w:before="0" w:beforeAutospacing="0" w:after="0" w:afterAutospacing="0" w:line="283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3"/>
        <w:ind w:left="0" w:firstLine="0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   </w:t>
      </w:r>
      <w:r>
        <w:rPr>
          <w:b w:val="0"/>
          <w:bCs w:val="0"/>
          <w:sz w:val="24"/>
          <w:szCs w:val="24"/>
          <w:highlight w:val="white"/>
        </w:rPr>
        <w:t xml:space="preserve">  </w:t>
      </w:r>
      <w:r>
        <w:rPr>
          <w:b w:val="0"/>
          <w:bCs w:val="0"/>
          <w:sz w:val="24"/>
          <w:szCs w:val="24"/>
          <w:highlight w:val="white"/>
        </w:rPr>
        <w:t xml:space="preserve">4.1. </w:t>
      </w:r>
      <w:r>
        <w:rPr>
          <w:bCs/>
          <w:sz w:val="24"/>
          <w:szCs w:val="24"/>
          <w:highlight w:val="white"/>
        </w:rPr>
        <w:t xml:space="preserve">Требования к составлению сметной документации (при заключении договора):</w:t>
      </w:r>
      <w:r>
        <w:rPr>
          <w:bCs/>
          <w:sz w:val="24"/>
          <w:szCs w:val="24"/>
          <w:highlight w:val="white"/>
        </w:rPr>
      </w:r>
    </w:p>
    <w:p>
      <w:pPr>
        <w:pStyle w:val="793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     </w:t>
      </w:r>
      <w:r>
        <w:rPr>
          <w:bCs/>
          <w:sz w:val="24"/>
          <w:szCs w:val="24"/>
          <w:highlight w:val="white"/>
        </w:rPr>
        <w:t xml:space="preserve">4.1.1.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</w:t>
      </w:r>
      <w:r>
        <w:rPr>
          <w:bCs/>
          <w:sz w:val="24"/>
          <w:szCs w:val="24"/>
          <w:highlight w:val="white"/>
        </w:rPr>
        <w:t xml:space="preserve">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локальном сметном расчёте единым индексом в итогах (после начисления лимитированных затрат до начисления НДС).</w:t>
      </w:r>
      <w:r>
        <w:rPr>
          <w:bCs/>
          <w:sz w:val="24"/>
          <w:szCs w:val="24"/>
          <w:highlight w:val="white"/>
        </w:rPr>
      </w:r>
    </w:p>
    <w:p>
      <w:pPr>
        <w:pStyle w:val="793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  <w:r>
        <w:rPr>
          <w:bCs/>
          <w:sz w:val="24"/>
          <w:szCs w:val="24"/>
          <w:highlight w:val="white"/>
        </w:rPr>
      </w:r>
    </w:p>
    <w:p>
      <w:pPr>
        <w:pStyle w:val="793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4.1.3 В сметной документации резерв средств на непредвиденные работы и затраты предусмотрен в размере 2%.</w:t>
      </w:r>
      <w:r>
        <w:rPr>
          <w:bCs/>
          <w:sz w:val="24"/>
          <w:szCs w:val="24"/>
          <w:highlight w:val="white"/>
        </w:rPr>
      </w:r>
    </w:p>
    <w:p>
      <w:pPr>
        <w:pStyle w:val="730"/>
        <w:numPr>
          <w:ilvl w:val="0"/>
          <w:numId w:val="0"/>
        </w:numPr>
        <w:ind w:left="3686" w:firstLine="0"/>
        <w:keepLines/>
        <w:rPr>
          <w:highlight w:val="none"/>
        </w:rPr>
      </w:pPr>
      <w:r/>
      <w:r>
        <w:rPr>
          <w:highlight w:val="none"/>
        </w:rPr>
      </w:r>
    </w:p>
    <w:p>
      <w:pPr>
        <w:pStyle w:val="730"/>
        <w:numPr>
          <w:ilvl w:val="0"/>
          <w:numId w:val="0"/>
        </w:numPr>
        <w:ind w:left="3686" w:firstLine="0"/>
        <w:keepLines/>
        <w:rPr>
          <w:iCs/>
          <w:sz w:val="24"/>
          <w:szCs w:val="24"/>
          <w:highlight w:val="none"/>
        </w:rPr>
      </w:pPr>
      <w:r>
        <w:rPr>
          <w:sz w:val="24"/>
          <w:szCs w:val="24"/>
        </w:rPr>
      </w:r>
      <w:bookmarkStart w:id="8" w:name="undefined_Копия_3"/>
      <w:r>
        <w:rPr>
          <w:iCs/>
          <w:sz w:val="24"/>
          <w:szCs w:val="24"/>
        </w:rPr>
        <w:t xml:space="preserve">5. Приложения</w:t>
      </w:r>
      <w:bookmarkEnd w:id="8"/>
      <w:r>
        <w:rPr>
          <w:sz w:val="24"/>
          <w:szCs w:val="24"/>
        </w:rPr>
      </w:r>
      <w:r>
        <w:rPr>
          <w:iCs/>
          <w:sz w:val="24"/>
          <w:szCs w:val="24"/>
          <w:highlight w:val="none"/>
        </w:rPr>
      </w:r>
    </w:p>
    <w:p>
      <w:pPr>
        <w:pStyle w:val="793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№1: Требования к оформлению и составлению документации по ценообразованию;</w:t>
      </w:r>
      <w:r>
        <w:rPr>
          <w:bCs/>
          <w:sz w:val="24"/>
          <w:szCs w:val="24"/>
        </w:rPr>
      </w:r>
    </w:p>
    <w:p>
      <w:pPr>
        <w:pStyle w:val="793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№2: Ведомость объёмов работ по очистке золоотвала для котельного цеха № 2 (Ургальская ЦЭС) Хабаровской ТЭЦ-2, пос. Чегдомын;</w:t>
      </w:r>
      <w:r>
        <w:rPr>
          <w:bCs/>
          <w:sz w:val="24"/>
          <w:szCs w:val="24"/>
        </w:rPr>
      </w:r>
    </w:p>
    <w:p>
      <w:pPr>
        <w:pStyle w:val="793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№3: Локальный сметный расчет №1</w:t>
      </w:r>
      <w:r>
        <w:rPr>
          <w:bCs/>
          <w:sz w:val="24"/>
          <w:szCs w:val="24"/>
          <w:highlight w:val="white"/>
        </w:rPr>
      </w:r>
    </w:p>
    <w:p>
      <w:pPr>
        <w:pStyle w:val="793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729"/>
        <w:spacing w:before="0" w:after="160" w:line="259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9"/>
        <w:spacing w:before="0" w:after="160" w:line="259" w:lineRule="auto"/>
        <w:rPr>
          <w:sz w:val="28"/>
          <w:szCs w:val="28"/>
        </w:rPr>
      </w:pPr>
      <w:r/>
      <w:r>
        <w:rPr>
          <w:sz w:val="28"/>
          <w:szCs w:val="28"/>
        </w:rPr>
      </w:r>
    </w:p>
    <w:sectPr>
      <w:footerReference w:type="default" r:id="rId14"/>
      <w:footerReference w:type="first" r:id="rId15"/>
      <w:footnotePr/>
      <w:endnotePr/>
      <w:type w:val="nextPage"/>
      <w:pgSz w:w="11906" w:h="16838" w:orient="portrait"/>
      <w:pgMar w:top="709" w:right="850" w:bottom="709" w:left="1134" w:header="0" w:footer="35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Times New Roman (???????? ?????">
    <w:panose1 w:val="020206030504050203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Segoe UI">
    <w:panose1 w:val="020B05030202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79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79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</w:t>
    </w:r>
    <w:r>
      <w:fldChar w:fldCharType="end"/>
    </w:r>
    <w:r/>
  </w:p>
  <w:p>
    <w:pPr>
      <w:pStyle w:val="799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10</w:t>
    </w:r>
    <w:r>
      <w:fldChar w:fldCharType="end"/>
    </w:r>
    <w:r/>
  </w:p>
  <w:p>
    <w:pPr>
      <w:pStyle w:val="799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207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07" w:hanging="840"/>
        <w:tabs>
          <w:tab w:val="num" w:pos="0" w:leader="none"/>
        </w:tabs>
      </w:pPr>
    </w:lvl>
    <w:lvl w:ilvl="2">
      <w:start w:val="1"/>
      <w:numFmt w:val="decimal"/>
      <w:pStyle w:val="732"/>
      <w:isLgl w:val="false"/>
      <w:suff w:val="tab"/>
      <w:lvlText w:val="%1.%2.%3."/>
      <w:lvlJc w:val="left"/>
      <w:pPr>
        <w:ind w:left="1614" w:hanging="84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21" w:hanging="84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5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5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5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5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30">
    <w:name w:val="Heading 1"/>
    <w:basedOn w:val="732"/>
    <w:qFormat/>
    <w:pPr>
      <w:numPr>
        <w:ilvl w:val="0"/>
        <w:numId w:val="0"/>
      </w:numPr>
      <w:outlineLvl w:val="0"/>
    </w:pPr>
    <w:rPr>
      <w:sz w:val="28"/>
      <w:szCs w:val="28"/>
    </w:rPr>
  </w:style>
  <w:style w:type="paragraph" w:styleId="731">
    <w:name w:val="Heading 2"/>
    <w:basedOn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2">
    <w:name w:val="Heading 3"/>
    <w:basedOn w:val="729"/>
    <w:qFormat/>
    <w:pPr>
      <w:numPr>
        <w:ilvl w:val="2"/>
        <w:numId w:val="1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33">
    <w:name w:val="Heading 4"/>
    <w:basedOn w:val="732"/>
    <w:qFormat/>
    <w:pPr>
      <w:numPr>
        <w:ilvl w:val="0"/>
        <w:numId w:val="0"/>
      </w:numPr>
      <w:outlineLvl w:val="3"/>
    </w:pPr>
    <w:rPr>
      <w:bCs/>
    </w:rPr>
  </w:style>
  <w:style w:type="paragraph" w:styleId="734">
    <w:name w:val="Heading 5"/>
    <w:basedOn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5">
    <w:name w:val="Heading 6"/>
    <w:basedOn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6">
    <w:name w:val="Heading 7"/>
    <w:basedOn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7">
    <w:name w:val="Heading 8"/>
    <w:basedOn w:val="7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8">
    <w:name w:val="Heading 9"/>
    <w:basedOn w:val="7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9">
    <w:name w:val="Heading 1 Char"/>
    <w:basedOn w:val="759"/>
    <w:uiPriority w:val="9"/>
    <w:qFormat/>
    <w:rPr>
      <w:rFonts w:ascii="Arial" w:hAnsi="Arial" w:eastAsia="Arial" w:cs="Arial"/>
      <w:sz w:val="40"/>
      <w:szCs w:val="40"/>
    </w:rPr>
  </w:style>
  <w:style w:type="character" w:styleId="740">
    <w:name w:val="Heading 2 Char"/>
    <w:basedOn w:val="759"/>
    <w:uiPriority w:val="9"/>
    <w:qFormat/>
    <w:rPr>
      <w:rFonts w:ascii="Arial" w:hAnsi="Arial" w:eastAsia="Arial" w:cs="Arial"/>
      <w:sz w:val="34"/>
    </w:rPr>
  </w:style>
  <w:style w:type="character" w:styleId="741">
    <w:name w:val="Heading 3 Char"/>
    <w:basedOn w:val="759"/>
    <w:uiPriority w:val="9"/>
    <w:qFormat/>
    <w:rPr>
      <w:rFonts w:ascii="Arial" w:hAnsi="Arial" w:eastAsia="Arial" w:cs="Arial"/>
      <w:sz w:val="30"/>
      <w:szCs w:val="30"/>
    </w:rPr>
  </w:style>
  <w:style w:type="character" w:styleId="742">
    <w:name w:val="Heading 4 Char"/>
    <w:basedOn w:val="75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3">
    <w:name w:val="Heading 5 Char"/>
    <w:basedOn w:val="75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4">
    <w:name w:val="Heading 6 Char"/>
    <w:basedOn w:val="75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5">
    <w:name w:val="Heading 7 Char"/>
    <w:basedOn w:val="75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6">
    <w:name w:val="Heading 8 Char"/>
    <w:basedOn w:val="75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7">
    <w:name w:val="Heading 9 Char"/>
    <w:basedOn w:val="75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8">
    <w:name w:val="Title Char"/>
    <w:basedOn w:val="759"/>
    <w:uiPriority w:val="10"/>
    <w:qFormat/>
    <w:rPr>
      <w:sz w:val="48"/>
      <w:szCs w:val="48"/>
    </w:rPr>
  </w:style>
  <w:style w:type="character" w:styleId="749">
    <w:name w:val="Subtitle Char"/>
    <w:basedOn w:val="759"/>
    <w:uiPriority w:val="11"/>
    <w:qFormat/>
    <w:rPr>
      <w:sz w:val="24"/>
      <w:szCs w:val="24"/>
    </w:rPr>
  </w:style>
  <w:style w:type="character" w:styleId="750">
    <w:name w:val="Quote Char"/>
    <w:uiPriority w:val="29"/>
    <w:qFormat/>
    <w:rPr>
      <w:i/>
    </w:rPr>
  </w:style>
  <w:style w:type="character" w:styleId="751">
    <w:name w:val="Intense Quote Char"/>
    <w:uiPriority w:val="30"/>
    <w:qFormat/>
    <w:rPr>
      <w:i/>
    </w:rPr>
  </w:style>
  <w:style w:type="character" w:styleId="752">
    <w:name w:val="Header Char"/>
    <w:basedOn w:val="759"/>
    <w:uiPriority w:val="99"/>
    <w:qFormat/>
  </w:style>
  <w:style w:type="character" w:styleId="753">
    <w:name w:val="Footer Char"/>
    <w:basedOn w:val="759"/>
    <w:uiPriority w:val="99"/>
    <w:qFormat/>
  </w:style>
  <w:style w:type="character" w:styleId="754">
    <w:name w:val="Caption Char"/>
    <w:uiPriority w:val="99"/>
    <w:qFormat/>
  </w:style>
  <w:style w:type="character" w:styleId="755">
    <w:name w:val="Footnote Text Char"/>
    <w:uiPriority w:val="99"/>
    <w:qFormat/>
    <w:rPr>
      <w:sz w:val="18"/>
    </w:rPr>
  </w:style>
  <w:style w:type="character" w:styleId="756">
    <w:name w:val="Endnote Text Char"/>
    <w:uiPriority w:val="99"/>
    <w:qFormat/>
    <w:rPr>
      <w:sz w:val="20"/>
    </w:rPr>
  </w:style>
  <w:style w:type="character" w:styleId="75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58">
    <w:name w:val="endnote reference"/>
    <w:rPr>
      <w:vertAlign w:val="superscript"/>
    </w:rPr>
  </w:style>
  <w:style w:type="character" w:styleId="759" w:default="1">
    <w:name w:val="Default Paragraph Font"/>
    <w:uiPriority w:val="1"/>
    <w:semiHidden/>
    <w:unhideWhenUsed/>
    <w:qFormat/>
  </w:style>
  <w:style w:type="character" w:styleId="760" w:customStyle="1">
    <w:name w:val="Абзац списка Знак"/>
    <w:uiPriority w:val="34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61" w:customStyle="1">
    <w:name w:val="Заголовок 1 Знак"/>
    <w:basedOn w:val="759"/>
    <w:qFormat/>
    <w:rPr>
      <w:rFonts w:ascii="Times New Roman" w:hAnsi="Times New Roman" w:eastAsia="Calibri" w:cs="Times New Roman"/>
      <w:b/>
      <w:sz w:val="28"/>
      <w:szCs w:val="28"/>
    </w:rPr>
  </w:style>
  <w:style w:type="character" w:styleId="762" w:customStyle="1">
    <w:name w:val="Заголовок 3 Знак"/>
    <w:basedOn w:val="759"/>
    <w:qFormat/>
    <w:rPr>
      <w:rFonts w:ascii="Times New Roman" w:hAnsi="Times New Roman" w:eastAsia="Calibri" w:cs="Times New Roman"/>
      <w:b/>
      <w:sz w:val="24"/>
      <w:szCs w:val="24"/>
    </w:rPr>
  </w:style>
  <w:style w:type="character" w:styleId="763" w:customStyle="1">
    <w:name w:val="Заголовок 4 Знак"/>
    <w:basedOn w:val="759"/>
    <w:qFormat/>
    <w:rPr>
      <w:rFonts w:ascii="Times New Roman" w:hAnsi="Times New Roman" w:eastAsia="Calibri" w:cs="Times New Roman"/>
      <w:b/>
      <w:bCs/>
      <w:sz w:val="24"/>
      <w:szCs w:val="24"/>
    </w:rPr>
  </w:style>
  <w:style w:type="character" w:styleId="764" w:customStyle="1">
    <w:name w:val="комментарий"/>
    <w:qFormat/>
    <w:rPr>
      <w:b/>
      <w:i/>
      <w:shd w:val="clear" w:color="auto" w:fill="ffff99"/>
    </w:rPr>
  </w:style>
  <w:style w:type="character" w:styleId="765">
    <w:name w:val="Hyperlink"/>
    <w:uiPriority w:val="99"/>
    <w:rPr>
      <w:color w:val="0000ff"/>
      <w:u w:val="single"/>
    </w:rPr>
  </w:style>
  <w:style w:type="character" w:styleId="766" w:customStyle="1">
    <w:name w:val="Верхний колонтитул Знак"/>
    <w:basedOn w:val="759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67" w:customStyle="1">
    <w:name w:val="Нижний колонтитул Знак"/>
    <w:basedOn w:val="759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68" w:customStyle="1">
    <w:name w:val="Текст выноски Знак"/>
    <w:basedOn w:val="759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769" w:customStyle="1">
    <w:name w:val="Текст сноски Знак"/>
    <w:basedOn w:val="759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70">
    <w:name w:val="Символ сноски"/>
    <w:qFormat/>
    <w:rPr>
      <w:vertAlign w:val="superscript"/>
    </w:rPr>
  </w:style>
  <w:style w:type="character" w:styleId="771">
    <w:name w:val="footnote reference"/>
    <w:rPr>
      <w:vertAlign w:val="superscript"/>
    </w:rPr>
  </w:style>
  <w:style w:type="character" w:styleId="772">
    <w:name w:val="Emphasis"/>
    <w:basedOn w:val="759"/>
    <w:uiPriority w:val="20"/>
    <w:qFormat/>
    <w:rPr>
      <w:i/>
      <w:iCs/>
    </w:rPr>
  </w:style>
  <w:style w:type="paragraph" w:styleId="773">
    <w:name w:val="Заголовок"/>
    <w:basedOn w:val="729"/>
    <w:next w:val="774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74">
    <w:name w:val="Body Text"/>
    <w:basedOn w:val="729"/>
    <w:pPr>
      <w:spacing w:before="0" w:after="140" w:line="276" w:lineRule="auto"/>
    </w:pPr>
  </w:style>
  <w:style w:type="paragraph" w:styleId="775">
    <w:name w:val="List"/>
    <w:basedOn w:val="774"/>
    <w:rPr>
      <w:rFonts w:cs="Arial Unicode MS"/>
    </w:rPr>
  </w:style>
  <w:style w:type="paragraph" w:styleId="776">
    <w:name w:val="Caption"/>
    <w:basedOn w:val="729"/>
    <w:link w:val="7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77">
    <w:name w:val="Указатель"/>
    <w:basedOn w:val="729"/>
    <w:qFormat/>
    <w:pPr>
      <w:suppressLineNumbers/>
    </w:pPr>
    <w:rPr>
      <w:rFonts w:cs="Arial Unicode MS"/>
    </w:rPr>
  </w:style>
  <w:style w:type="paragraph" w:styleId="778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79">
    <w:name w:val="Title"/>
    <w:basedOn w:val="72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80">
    <w:name w:val="Subtitle"/>
    <w:basedOn w:val="729"/>
    <w:uiPriority w:val="11"/>
    <w:qFormat/>
    <w:pPr>
      <w:spacing w:before="200" w:after="200"/>
    </w:pPr>
    <w:rPr>
      <w:sz w:val="24"/>
      <w:szCs w:val="24"/>
    </w:rPr>
  </w:style>
  <w:style w:type="paragraph" w:styleId="781">
    <w:name w:val="Quote"/>
    <w:basedOn w:val="729"/>
    <w:uiPriority w:val="29"/>
    <w:qFormat/>
    <w:pPr>
      <w:ind w:left="720" w:right="720" w:firstLine="0"/>
    </w:pPr>
    <w:rPr>
      <w:i/>
    </w:rPr>
  </w:style>
  <w:style w:type="paragraph" w:styleId="782">
    <w:name w:val="Intense Quote"/>
    <w:basedOn w:val="729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83">
    <w:name w:val="endnote text"/>
    <w:basedOn w:val="72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84">
    <w:name w:val="toc 2"/>
    <w:basedOn w:val="729"/>
    <w:uiPriority w:val="39"/>
    <w:unhideWhenUsed/>
    <w:pPr>
      <w:ind w:left="283" w:right="0" w:firstLine="0"/>
      <w:spacing w:before="0" w:after="57"/>
    </w:pPr>
  </w:style>
  <w:style w:type="paragraph" w:styleId="785">
    <w:name w:val="toc 5"/>
    <w:basedOn w:val="729"/>
    <w:uiPriority w:val="39"/>
    <w:unhideWhenUsed/>
    <w:pPr>
      <w:ind w:left="1134" w:right="0" w:firstLine="0"/>
      <w:spacing w:before="0" w:after="57"/>
    </w:pPr>
  </w:style>
  <w:style w:type="paragraph" w:styleId="786">
    <w:name w:val="toc 6"/>
    <w:basedOn w:val="729"/>
    <w:uiPriority w:val="39"/>
    <w:unhideWhenUsed/>
    <w:pPr>
      <w:ind w:left="1417" w:right="0" w:firstLine="0"/>
      <w:spacing w:before="0" w:after="57"/>
    </w:pPr>
  </w:style>
  <w:style w:type="paragraph" w:styleId="787">
    <w:name w:val="toc 7"/>
    <w:basedOn w:val="729"/>
    <w:uiPriority w:val="39"/>
    <w:unhideWhenUsed/>
    <w:pPr>
      <w:ind w:left="1701" w:right="0" w:firstLine="0"/>
      <w:spacing w:before="0" w:after="57"/>
    </w:pPr>
  </w:style>
  <w:style w:type="paragraph" w:styleId="788">
    <w:name w:val="toc 8"/>
    <w:basedOn w:val="729"/>
    <w:uiPriority w:val="39"/>
    <w:unhideWhenUsed/>
    <w:pPr>
      <w:ind w:left="1984" w:right="0" w:firstLine="0"/>
      <w:spacing w:before="0" w:after="57"/>
    </w:pPr>
  </w:style>
  <w:style w:type="paragraph" w:styleId="789">
    <w:name w:val="toc 9"/>
    <w:basedOn w:val="729"/>
    <w:uiPriority w:val="39"/>
    <w:unhideWhenUsed/>
    <w:pPr>
      <w:ind w:left="2268" w:right="0" w:firstLine="0"/>
      <w:spacing w:before="0" w:after="57"/>
    </w:pPr>
  </w:style>
  <w:style w:type="paragraph" w:styleId="790">
    <w:name w:val="Index Heading"/>
    <w:basedOn w:val="773"/>
  </w:style>
  <w:style w:type="paragraph" w:styleId="791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92">
    <w:name w:val="table of figures"/>
    <w:basedOn w:val="729"/>
    <w:uiPriority w:val="99"/>
    <w:unhideWhenUsed/>
    <w:qFormat/>
    <w:pPr>
      <w:spacing w:before="0" w:after="0" w:afterAutospacing="0"/>
    </w:pPr>
  </w:style>
  <w:style w:type="paragraph" w:styleId="793">
    <w:name w:val="List Paragraph"/>
    <w:basedOn w:val="729"/>
    <w:uiPriority w:val="34"/>
    <w:qFormat/>
    <w:pPr>
      <w:contextualSpacing/>
      <w:ind w:left="720" w:firstLine="0"/>
      <w:spacing w:before="0" w:after="0"/>
    </w:pPr>
  </w:style>
  <w:style w:type="paragraph" w:styleId="794">
    <w:name w:val="toc 1"/>
    <w:basedOn w:val="729"/>
    <w:uiPriority w:val="39"/>
    <w:pPr>
      <w:spacing w:before="120" w:after="0"/>
      <w:tabs>
        <w:tab w:val="left" w:pos="560" w:leader="none"/>
        <w:tab w:val="clear" w:pos="708" w:leader="none"/>
        <w:tab w:val="left" w:pos="9214" w:leader="none"/>
        <w:tab w:val="right" w:pos="9911" w:leader="dot"/>
      </w:tabs>
    </w:pPr>
    <w:rPr>
      <w:rFonts w:cs="Calibri" w:cstheme="minorHAnsi"/>
      <w:b/>
      <w:bCs/>
      <w:iCs/>
      <w:sz w:val="24"/>
      <w:szCs w:val="24"/>
    </w:rPr>
  </w:style>
  <w:style w:type="paragraph" w:styleId="795">
    <w:name w:val="toc 3"/>
    <w:basedOn w:val="729"/>
    <w:uiPriority w:val="39"/>
    <w:pPr>
      <w:ind w:left="560" w:firstLine="0"/>
      <w:tabs>
        <w:tab w:val="clear" w:pos="708" w:leader="none"/>
        <w:tab w:val="left" w:pos="140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796">
    <w:name w:val="toc 4"/>
    <w:basedOn w:val="729"/>
    <w:uiPriority w:val="39"/>
    <w:pPr>
      <w:ind w:left="840" w:firstLine="0"/>
    </w:pPr>
    <w:rPr>
      <w:rFonts w:cs="Calibri" w:cstheme="minorHAnsi"/>
      <w:sz w:val="20"/>
      <w:szCs w:val="20"/>
    </w:rPr>
  </w:style>
  <w:style w:type="paragraph" w:styleId="797">
    <w:name w:val="Колонтитул"/>
    <w:basedOn w:val="729"/>
    <w:qFormat/>
  </w:style>
  <w:style w:type="paragraph" w:styleId="798">
    <w:name w:val="Header"/>
    <w:basedOn w:val="72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99">
    <w:name w:val="Footer"/>
    <w:basedOn w:val="72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00" w:customStyle="1">
    <w:name w:val="Таблица"/>
    <w:basedOn w:val="72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01" w:customStyle="1">
    <w:name w:val="Таблица шапка"/>
    <w:basedOn w:val="729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02">
    <w:name w:val="Balloon Text"/>
    <w:basedOn w:val="72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803">
    <w:name w:val="footnote text"/>
    <w:basedOn w:val="729"/>
    <w:uiPriority w:val="99"/>
    <w:rPr>
      <w:sz w:val="20"/>
      <w:szCs w:val="20"/>
    </w:rPr>
  </w:style>
  <w:style w:type="paragraph" w:styleId="804">
    <w:name w:val="Normal (Web)"/>
    <w:basedOn w:val="729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805">
    <w:name w:val="Содержимое врезки"/>
    <w:basedOn w:val="729"/>
    <w:qFormat/>
  </w:style>
  <w:style w:type="paragraph" w:styleId="806">
    <w:name w:val="Содержимое таблицы"/>
    <w:basedOn w:val="729"/>
    <w:qFormat/>
    <w:pPr>
      <w:widowControl w:val="off"/>
      <w:suppressLineNumbers/>
    </w:pPr>
  </w:style>
  <w:style w:type="paragraph" w:styleId="807">
    <w:name w:val="Заголовок таблицы"/>
    <w:basedOn w:val="806"/>
    <w:qFormat/>
    <w:pPr>
      <w:jc w:val="center"/>
      <w:suppressLineNumbers/>
    </w:pPr>
    <w:rPr>
      <w:b/>
      <w:bCs/>
    </w:rPr>
  </w:style>
  <w:style w:type="paragraph" w:styleId="808">
    <w:name w:val="[РГ] Текст"/>
    <w:qFormat/>
    <w:pPr>
      <w:jc w:val="both"/>
      <w:spacing w:before="120" w:beforeAutospacing="0" w:after="0" w:afterAutospacing="0" w:line="240" w:lineRule="auto"/>
      <w:widowControl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sz w:val="26"/>
      <w:szCs w:val="24"/>
      <w:u w:val="none"/>
      <w:lang w:val="ru-RU" w:eastAsia="en-US" w:bidi="ar-SA"/>
    </w:rPr>
  </w:style>
  <w:style w:type="numbering" w:styleId="809" w:default="1">
    <w:name w:val="No List"/>
    <w:uiPriority w:val="99"/>
    <w:semiHidden/>
    <w:unhideWhenUsed/>
    <w:qFormat/>
  </w:style>
  <w:style w:type="table" w:styleId="810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13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14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841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842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843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4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5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8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852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9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74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75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76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77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78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79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80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1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08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9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9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9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9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9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9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9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9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9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9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9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9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9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9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9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9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9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9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9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929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30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1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32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33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34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35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3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customXml" Target="../customXml/item1.xml" /><Relationship Id="rId17" Type="http://schemas.openxmlformats.org/officeDocument/2006/relationships/hyperlink" Target="http://www.zakupki.gov.ru/" TargetMode="External"/><Relationship Id="rId18" Type="http://schemas.openxmlformats.org/officeDocument/2006/relationships/hyperlink" Target="mailto:RoySA@rushydr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E9DB-477F-4047-9556-07809581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Анна Викторовна</dc:creator>
  <dc:description/>
  <dc:language>ru-RU</dc:language>
  <cp:lastModifiedBy>lutfullina_ee</cp:lastModifiedBy>
  <cp:revision>18</cp:revision>
  <dcterms:created xsi:type="dcterms:W3CDTF">2023-05-02T04:17:00Z</dcterms:created>
  <dcterms:modified xsi:type="dcterms:W3CDTF">2026-07-15T22:50:51Z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32403546</vt:i4>
  </property>
</Properties>
</file>